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0C7030">
      <w:pPr>
        <w:jc w:val="both"/>
        <w:rPr>
          <w:b/>
          <w:color w:val="666699"/>
          <w:sz w:val="56"/>
          <w:szCs w:val="56"/>
          <w:lang w:val="en-GB"/>
        </w:rPr>
      </w:pPr>
    </w:p>
    <w:p w14:paraId="729B4604">
      <w:pPr>
        <w:jc w:val="both"/>
        <w:rPr>
          <w:b/>
          <w:color w:val="666699"/>
          <w:sz w:val="56"/>
          <w:szCs w:val="56"/>
          <w:lang w:val="en-GB"/>
        </w:rPr>
      </w:pPr>
    </w:p>
    <w:p w14:paraId="55A9E434">
      <w:pPr>
        <w:jc w:val="both"/>
        <w:rPr>
          <w:b/>
          <w:color w:val="666699"/>
          <w:sz w:val="56"/>
          <w:szCs w:val="56"/>
          <w:lang w:val="en-GB"/>
        </w:rPr>
      </w:pPr>
    </w:p>
    <w:p w14:paraId="613EFC74">
      <w:pPr>
        <w:jc w:val="both"/>
        <w:rPr>
          <w:b/>
          <w:color w:val="666699"/>
          <w:sz w:val="56"/>
          <w:szCs w:val="56"/>
          <w:lang w:val="en-GB"/>
        </w:rPr>
      </w:pPr>
    </w:p>
    <w:p w14:paraId="17B90396">
      <w:pPr>
        <w:jc w:val="center"/>
        <w:rPr>
          <w:b/>
          <w:color w:val="666699"/>
          <w:sz w:val="32"/>
          <w:szCs w:val="32"/>
          <w:lang w:val="en-GB"/>
        </w:rPr>
      </w:pPr>
    </w:p>
    <w:p w14:paraId="1F9435F5">
      <w:pPr>
        <w:jc w:val="center"/>
        <w:rPr>
          <w:b/>
          <w:color w:val="666699"/>
          <w:sz w:val="32"/>
          <w:szCs w:val="32"/>
          <w:lang w:val="en-GB"/>
        </w:rPr>
      </w:pPr>
      <w:r>
        <w:rPr>
          <w:b/>
          <w:color w:val="666699"/>
          <w:sz w:val="32"/>
          <w:szCs w:val="32"/>
          <w:lang w:val="en-GB"/>
        </w:rPr>
        <w:t>PROGRAM</w:t>
      </w:r>
    </w:p>
    <w:p w14:paraId="34204BAB">
      <w:pPr>
        <w:jc w:val="center"/>
        <w:rPr>
          <w:b/>
          <w:color w:val="666699"/>
          <w:sz w:val="56"/>
          <w:szCs w:val="56"/>
          <w:lang w:val="en-GB"/>
        </w:rPr>
      </w:pPr>
      <w:r>
        <w:rPr>
          <w:b/>
          <w:color w:val="666699"/>
          <w:sz w:val="56"/>
          <w:szCs w:val="56"/>
          <w:lang w:val="en-GB"/>
        </w:rPr>
        <w:t xml:space="preserve">Workshop on Centenarians: Models of healthy aging </w:t>
      </w:r>
    </w:p>
    <w:p w14:paraId="4A336DEE">
      <w:pPr>
        <w:jc w:val="center"/>
        <w:rPr>
          <w:b/>
          <w:color w:val="666699"/>
          <w:sz w:val="56"/>
          <w:szCs w:val="56"/>
          <w:lang w:val="en-GB"/>
        </w:rPr>
      </w:pPr>
    </w:p>
    <w:p w14:paraId="46F186FF">
      <w:pPr>
        <w:jc w:val="center"/>
        <w:rPr>
          <w:b/>
          <w:color w:val="666699"/>
          <w:sz w:val="56"/>
          <w:szCs w:val="56"/>
          <w:lang w:val="en-GB"/>
        </w:rPr>
      </w:pPr>
    </w:p>
    <w:p w14:paraId="40383A0A">
      <w:pPr>
        <w:jc w:val="center"/>
        <w:rPr>
          <w:b/>
          <w:color w:val="666699"/>
          <w:sz w:val="44"/>
          <w:szCs w:val="44"/>
        </w:rPr>
      </w:pPr>
      <w:r>
        <w:rPr>
          <w:b/>
          <w:color w:val="666699"/>
          <w:sz w:val="44"/>
          <w:szCs w:val="44"/>
        </w:rPr>
        <w:t>V Encuentro Grupo Español de Investigación en Centenarios</w:t>
      </w:r>
    </w:p>
    <w:p w14:paraId="5FC5FA52">
      <w:pPr>
        <w:jc w:val="center"/>
        <w:rPr>
          <w:b/>
          <w:color w:val="666699"/>
          <w:sz w:val="44"/>
          <w:szCs w:val="44"/>
        </w:rPr>
      </w:pPr>
    </w:p>
    <w:p w14:paraId="127384B4">
      <w:pPr>
        <w:jc w:val="center"/>
        <w:rPr>
          <w:b/>
          <w:color w:val="666699"/>
          <w:sz w:val="56"/>
          <w:szCs w:val="56"/>
        </w:rPr>
      </w:pPr>
    </w:p>
    <w:p w14:paraId="0A2E7587">
      <w:pPr>
        <w:jc w:val="both"/>
        <w:rPr>
          <w:color w:val="666699"/>
          <w:sz w:val="32"/>
          <w:szCs w:val="32"/>
        </w:rPr>
      </w:pPr>
    </w:p>
    <w:p w14:paraId="73BB8927">
      <w:pPr>
        <w:jc w:val="right"/>
        <w:rPr>
          <w:color w:val="666699"/>
          <w:sz w:val="28"/>
          <w:szCs w:val="28"/>
        </w:rPr>
      </w:pPr>
    </w:p>
    <w:p w14:paraId="18638FFE">
      <w:pPr>
        <w:jc w:val="right"/>
        <w:rPr>
          <w:color w:val="666699"/>
          <w:sz w:val="28"/>
          <w:szCs w:val="28"/>
        </w:rPr>
      </w:pPr>
    </w:p>
    <w:p w14:paraId="293D84C1">
      <w:pPr>
        <w:jc w:val="right"/>
        <w:rPr>
          <w:color w:val="666699"/>
          <w:sz w:val="28"/>
          <w:szCs w:val="28"/>
        </w:rPr>
      </w:pPr>
    </w:p>
    <w:p w14:paraId="0C0121DF">
      <w:pPr>
        <w:jc w:val="right"/>
        <w:rPr>
          <w:color w:val="666699"/>
          <w:sz w:val="28"/>
          <w:szCs w:val="28"/>
        </w:rPr>
      </w:pPr>
    </w:p>
    <w:p w14:paraId="39FC544D">
      <w:pPr>
        <w:jc w:val="right"/>
        <w:rPr>
          <w:color w:val="666699"/>
          <w:sz w:val="28"/>
          <w:szCs w:val="28"/>
        </w:rPr>
      </w:pPr>
    </w:p>
    <w:p w14:paraId="7552A9AC">
      <w:pPr>
        <w:jc w:val="right"/>
        <w:rPr>
          <w:color w:val="666699"/>
          <w:sz w:val="28"/>
          <w:szCs w:val="28"/>
        </w:rPr>
      </w:pPr>
    </w:p>
    <w:p w14:paraId="7CC18181">
      <w:pPr>
        <w:jc w:val="right"/>
        <w:rPr>
          <w:color w:val="666699"/>
          <w:sz w:val="28"/>
          <w:szCs w:val="28"/>
        </w:rPr>
      </w:pPr>
    </w:p>
    <w:p w14:paraId="79EE044C">
      <w:pPr>
        <w:jc w:val="right"/>
        <w:rPr>
          <w:color w:val="666699"/>
          <w:sz w:val="28"/>
          <w:szCs w:val="28"/>
        </w:rPr>
      </w:pPr>
    </w:p>
    <w:p w14:paraId="714A782B">
      <w:pPr>
        <w:jc w:val="right"/>
        <w:rPr>
          <w:color w:val="666699"/>
          <w:sz w:val="28"/>
          <w:szCs w:val="28"/>
        </w:rPr>
      </w:pPr>
    </w:p>
    <w:p w14:paraId="4DA558A9">
      <w:pPr>
        <w:jc w:val="right"/>
        <w:rPr>
          <w:color w:val="666699"/>
          <w:sz w:val="28"/>
          <w:szCs w:val="28"/>
        </w:rPr>
      </w:pPr>
    </w:p>
    <w:p w14:paraId="6C521A51">
      <w:pPr>
        <w:jc w:val="right"/>
        <w:rPr>
          <w:color w:val="666699"/>
          <w:sz w:val="28"/>
          <w:szCs w:val="28"/>
        </w:rPr>
      </w:pPr>
    </w:p>
    <w:p w14:paraId="210B6B48">
      <w:pPr>
        <w:jc w:val="right"/>
        <w:rPr>
          <w:color w:val="666699"/>
          <w:sz w:val="28"/>
          <w:szCs w:val="28"/>
        </w:rPr>
      </w:pPr>
    </w:p>
    <w:p w14:paraId="2963A73D">
      <w:pPr>
        <w:jc w:val="right"/>
        <w:rPr>
          <w:color w:val="666699"/>
          <w:sz w:val="28"/>
          <w:szCs w:val="28"/>
        </w:rPr>
      </w:pPr>
    </w:p>
    <w:p w14:paraId="08628C88">
      <w:pPr>
        <w:jc w:val="right"/>
        <w:rPr>
          <w:color w:val="666699"/>
          <w:sz w:val="28"/>
          <w:szCs w:val="28"/>
          <w:lang w:val="en-GB"/>
        </w:rPr>
      </w:pPr>
      <w:r>
        <w:rPr>
          <w:color w:val="666699"/>
          <w:sz w:val="28"/>
          <w:szCs w:val="28"/>
          <w:lang w:val="en-GB"/>
        </w:rPr>
        <w:t>April 3</w:t>
      </w:r>
      <w:r>
        <w:rPr>
          <w:color w:val="666699"/>
          <w:sz w:val="28"/>
          <w:szCs w:val="28"/>
          <w:vertAlign w:val="superscript"/>
          <w:lang w:val="en-GB"/>
        </w:rPr>
        <w:t>th</w:t>
      </w:r>
      <w:r>
        <w:rPr>
          <w:color w:val="666699"/>
          <w:sz w:val="28"/>
          <w:szCs w:val="28"/>
          <w:lang w:val="en-GB"/>
        </w:rPr>
        <w:t>-4</w:t>
      </w:r>
      <w:r>
        <w:rPr>
          <w:color w:val="666699"/>
          <w:sz w:val="28"/>
          <w:szCs w:val="28"/>
          <w:vertAlign w:val="superscript"/>
          <w:lang w:val="en-GB"/>
        </w:rPr>
        <w:t>th</w:t>
      </w:r>
      <w:r>
        <w:rPr>
          <w:color w:val="666699"/>
          <w:sz w:val="28"/>
          <w:szCs w:val="28"/>
          <w:lang w:val="en-GB"/>
        </w:rPr>
        <w:t xml:space="preserve">, 2025 </w:t>
      </w:r>
    </w:p>
    <w:p w14:paraId="502803DB">
      <w:pPr>
        <w:jc w:val="right"/>
        <w:rPr>
          <w:color w:val="666699"/>
          <w:sz w:val="28"/>
          <w:szCs w:val="28"/>
          <w:lang w:val="en-GB"/>
        </w:rPr>
      </w:pPr>
      <w:r>
        <w:rPr>
          <w:color w:val="666699"/>
          <w:sz w:val="28"/>
          <w:szCs w:val="28"/>
          <w:lang w:val="en-GB"/>
        </w:rPr>
        <w:t xml:space="preserve">San Sebastian, Spain  </w:t>
      </w:r>
    </w:p>
    <w:p w14:paraId="6F93E152">
      <w:pPr>
        <w:jc w:val="right"/>
        <w:rPr>
          <w:color w:val="666699"/>
          <w:sz w:val="28"/>
          <w:szCs w:val="28"/>
          <w:lang w:val="en-GB"/>
        </w:rPr>
      </w:pPr>
    </w:p>
    <w:p w14:paraId="74DB0647">
      <w:pPr>
        <w:jc w:val="right"/>
        <w:rPr>
          <w:color w:val="666699"/>
          <w:sz w:val="28"/>
          <w:szCs w:val="28"/>
          <w:lang w:val="en-GB"/>
        </w:rPr>
      </w:pPr>
    </w:p>
    <w:p w14:paraId="45D495E1">
      <w:pPr>
        <w:shd w:val="clear" w:color="auto" w:fill="666699"/>
        <w:jc w:val="both"/>
        <w:rPr>
          <w:rFonts w:ascii="Arial" w:hAnsi="Arial" w:cs="Arial"/>
          <w:b/>
          <w:color w:val="FFFFFF"/>
          <w:lang w:val="en-US"/>
        </w:rPr>
      </w:pPr>
      <w:r>
        <w:rPr>
          <w:rFonts w:ascii="Arial" w:hAnsi="Arial" w:cs="Arial"/>
          <w:b/>
          <w:color w:val="FFFFFF"/>
          <w:lang w:val="en-US"/>
        </w:rPr>
        <w:t>Organizing Committee</w:t>
      </w:r>
    </w:p>
    <w:p w14:paraId="63497E72">
      <w:pPr>
        <w:ind w:right="45"/>
        <w:jc w:val="both"/>
        <w:rPr>
          <w:rFonts w:cs="Arial"/>
          <w:b/>
          <w:lang w:val="en-US"/>
        </w:rPr>
      </w:pPr>
    </w:p>
    <w:p w14:paraId="7B7ADBA1">
      <w:pPr>
        <w:ind w:right="45"/>
        <w:jc w:val="both"/>
        <w:rPr>
          <w:lang w:val="en-US"/>
        </w:rPr>
      </w:pPr>
      <w:r>
        <w:rPr>
          <w:rFonts w:eastAsia="MS Mincho"/>
          <w:b/>
          <w:lang w:val="en-US" w:eastAsia="es-ES"/>
        </w:rPr>
        <w:t>Ander Matheu</w:t>
      </w:r>
      <w:r>
        <w:rPr>
          <w:rFonts w:eastAsia="MS Mincho"/>
          <w:lang w:val="en-US" w:eastAsia="es-ES"/>
        </w:rPr>
        <w:t>.</w:t>
      </w:r>
      <w:r>
        <w:rPr>
          <w:lang w:val="en-US"/>
        </w:rPr>
        <w:t xml:space="preserve"> Oncology Area, Biogipuzkoa Health Research Institute, San Sebastian, Spain; CIBER of frailty and healthy aging (CIBERfes), Madrid, Spain</w:t>
      </w:r>
    </w:p>
    <w:p w14:paraId="3F0186FD">
      <w:pPr>
        <w:ind w:right="45"/>
        <w:jc w:val="both"/>
        <w:rPr>
          <w:b/>
          <w:lang w:val="en-US"/>
        </w:rPr>
      </w:pPr>
    </w:p>
    <w:p w14:paraId="61FE3AA2">
      <w:pPr>
        <w:ind w:right="45"/>
        <w:jc w:val="both"/>
        <w:rPr>
          <w:lang w:val="en-US"/>
        </w:rPr>
      </w:pPr>
      <w:r>
        <w:rPr>
          <w:b/>
          <w:lang w:val="en-US"/>
        </w:rPr>
        <w:t>Itziar Vergara</w:t>
      </w:r>
      <w:r>
        <w:rPr>
          <w:lang w:val="en-US"/>
        </w:rPr>
        <w:t xml:space="preserve">. Scientific Director, Biogipuzkoa Health Research Institute and OSI Gipuzkoa, San Sebastian, Spain </w:t>
      </w:r>
    </w:p>
    <w:p w14:paraId="32F381CB">
      <w:pPr>
        <w:ind w:right="45"/>
        <w:jc w:val="both"/>
        <w:rPr>
          <w:b/>
          <w:lang w:val="en-US"/>
        </w:rPr>
      </w:pPr>
    </w:p>
    <w:p w14:paraId="5D1C020A">
      <w:pPr>
        <w:ind w:right="45"/>
        <w:jc w:val="both"/>
        <w:rPr>
          <w:lang w:val="en-US"/>
        </w:rPr>
      </w:pPr>
      <w:r>
        <w:rPr>
          <w:rFonts w:eastAsia="MS Mincho"/>
          <w:b/>
          <w:lang w:val="en-US" w:eastAsia="es-ES"/>
        </w:rPr>
        <w:t>Estefanía Carrasco-García</w:t>
      </w:r>
      <w:r>
        <w:rPr>
          <w:lang w:val="en-US"/>
        </w:rPr>
        <w:t>. Oncology Area, Biogipuzkoa Health Research Institute, San Sebastian, Spain</w:t>
      </w:r>
    </w:p>
    <w:p w14:paraId="6D0FD01A">
      <w:pPr>
        <w:ind w:right="45"/>
        <w:jc w:val="both"/>
        <w:rPr>
          <w:b/>
          <w:lang w:val="en-US"/>
        </w:rPr>
      </w:pPr>
    </w:p>
    <w:p w14:paraId="22E20628">
      <w:pPr>
        <w:ind w:right="45"/>
        <w:jc w:val="both"/>
        <w:rPr>
          <w:lang w:val="en-US"/>
        </w:rPr>
      </w:pPr>
      <w:r>
        <w:rPr>
          <w:b/>
          <w:lang w:val="en-US"/>
        </w:rPr>
        <w:t>José Viña</w:t>
      </w:r>
      <w:r>
        <w:rPr>
          <w:lang w:val="en-US"/>
        </w:rPr>
        <w:t>.</w:t>
      </w:r>
      <w:r>
        <w:rPr>
          <w:b/>
          <w:lang w:val="en-US"/>
        </w:rPr>
        <w:t xml:space="preserve"> </w:t>
      </w:r>
      <w:r>
        <w:rPr>
          <w:lang w:val="en-US"/>
        </w:rPr>
        <w:t>Physiology Department, Valencia University,</w:t>
      </w:r>
      <w:r>
        <w:rPr>
          <w:b/>
          <w:lang w:val="en-US"/>
        </w:rPr>
        <w:t xml:space="preserve"> </w:t>
      </w:r>
      <w:r>
        <w:rPr>
          <w:lang w:val="en-US"/>
        </w:rPr>
        <w:t>Valencia, Spain; CIBER of frailty and healthy aging (CIBERfes), Madrid, Spain</w:t>
      </w:r>
    </w:p>
    <w:p w14:paraId="0EF92D7F">
      <w:pPr>
        <w:jc w:val="both"/>
        <w:rPr>
          <w:lang w:val="en-GB"/>
        </w:rPr>
      </w:pPr>
    </w:p>
    <w:p w14:paraId="014FA364">
      <w:pPr>
        <w:shd w:val="clear" w:color="auto" w:fill="666699"/>
        <w:jc w:val="both"/>
        <w:rPr>
          <w:rFonts w:ascii="Arial" w:hAnsi="Arial" w:cs="Arial"/>
          <w:b/>
          <w:color w:val="FFFFFF"/>
          <w:lang w:val="en-GB"/>
        </w:rPr>
      </w:pPr>
      <w:r>
        <w:rPr>
          <w:rFonts w:ascii="Arial" w:hAnsi="Arial" w:cs="Arial"/>
          <w:b/>
          <w:color w:val="FFFFFF"/>
          <w:lang w:val="en-GB"/>
        </w:rPr>
        <w:t>Scientific Committee</w:t>
      </w:r>
    </w:p>
    <w:p w14:paraId="741AE07D">
      <w:pPr>
        <w:jc w:val="both"/>
        <w:rPr>
          <w:lang w:val="en-GB"/>
        </w:rPr>
      </w:pPr>
    </w:p>
    <w:p w14:paraId="0704746D">
      <w:pPr>
        <w:ind w:right="45"/>
        <w:jc w:val="both"/>
        <w:rPr>
          <w:lang w:val="en-US"/>
        </w:rPr>
      </w:pPr>
      <w:r>
        <w:rPr>
          <w:rFonts w:eastAsia="MS Mincho"/>
          <w:b/>
          <w:lang w:val="en-US" w:eastAsia="es-ES"/>
        </w:rPr>
        <w:t>Ander Matheu</w:t>
      </w:r>
      <w:r>
        <w:rPr>
          <w:lang w:val="en-US"/>
        </w:rPr>
        <w:t>. Oncology Area, Biogipuzkoa Health Research Institute, San Sebastian, Spain</w:t>
      </w:r>
    </w:p>
    <w:p w14:paraId="3CAA1BA7">
      <w:pPr>
        <w:ind w:right="45"/>
        <w:jc w:val="both"/>
        <w:rPr>
          <w:b/>
          <w:lang w:val="en-US"/>
        </w:rPr>
      </w:pPr>
    </w:p>
    <w:p w14:paraId="7B9E6DDF">
      <w:pPr>
        <w:ind w:right="45"/>
        <w:jc w:val="both"/>
        <w:rPr>
          <w:lang w:val="en-US"/>
        </w:rPr>
      </w:pPr>
      <w:r>
        <w:rPr>
          <w:b/>
          <w:lang w:val="en-US"/>
        </w:rPr>
        <w:t>José Viña</w:t>
      </w:r>
      <w:r>
        <w:rPr>
          <w:lang w:val="en-US"/>
        </w:rPr>
        <w:t>.</w:t>
      </w:r>
      <w:r>
        <w:rPr>
          <w:b/>
          <w:lang w:val="en-US"/>
        </w:rPr>
        <w:t xml:space="preserve"> </w:t>
      </w:r>
      <w:r>
        <w:rPr>
          <w:lang w:val="en-US"/>
        </w:rPr>
        <w:t>Physiology Department, Valencia University,</w:t>
      </w:r>
      <w:r>
        <w:rPr>
          <w:b/>
          <w:lang w:val="en-US"/>
        </w:rPr>
        <w:t xml:space="preserve"> </w:t>
      </w:r>
      <w:r>
        <w:rPr>
          <w:lang w:val="en-US"/>
        </w:rPr>
        <w:t>Valencia, Spain</w:t>
      </w:r>
    </w:p>
    <w:p w14:paraId="62CCE557">
      <w:pPr>
        <w:ind w:right="45"/>
        <w:jc w:val="both"/>
        <w:rPr>
          <w:b/>
          <w:lang w:val="en-US"/>
        </w:rPr>
      </w:pPr>
    </w:p>
    <w:p w14:paraId="63ED41AA">
      <w:pPr>
        <w:jc w:val="both"/>
        <w:rPr>
          <w:lang w:val="en-GB"/>
        </w:rPr>
      </w:pPr>
      <w:r>
        <w:rPr>
          <w:lang w:val="en-GB"/>
        </w:rPr>
        <w:br w:type="page"/>
      </w:r>
    </w:p>
    <w:p w14:paraId="7FC0EDD9">
      <w:pPr>
        <w:jc w:val="both"/>
        <w:rPr>
          <w:b/>
          <w:sz w:val="36"/>
          <w:lang w:val="en-GB"/>
        </w:rPr>
      </w:pPr>
      <w:r>
        <w:rPr>
          <w:b/>
          <w:sz w:val="36"/>
          <w:lang w:val="en-GB"/>
        </w:rPr>
        <w:t>Day 1. Thursday, 3</w:t>
      </w:r>
      <w:r>
        <w:rPr>
          <w:b/>
          <w:sz w:val="36"/>
          <w:szCs w:val="36"/>
          <w:vertAlign w:val="superscript"/>
          <w:lang w:val="en-GB"/>
        </w:rPr>
        <w:t>th</w:t>
      </w:r>
      <w:r>
        <w:rPr>
          <w:b/>
          <w:sz w:val="36"/>
          <w:lang w:val="en-GB"/>
        </w:rPr>
        <w:t xml:space="preserve"> April 2025</w:t>
      </w:r>
    </w:p>
    <w:p w14:paraId="4A53CAFD">
      <w:pPr>
        <w:jc w:val="both"/>
        <w:rPr>
          <w:b/>
          <w:sz w:val="36"/>
          <w:lang w:val="en-GB"/>
        </w:rPr>
      </w:pPr>
      <w:r>
        <w:rPr>
          <w:b/>
          <w:sz w:val="36"/>
          <w:vertAlign w:val="superscript"/>
          <w:lang w:val="en-GB"/>
        </w:rPr>
        <w:t xml:space="preserve"> </w:t>
      </w:r>
      <w:r>
        <w:rPr>
          <w:b/>
          <w:sz w:val="36"/>
          <w:lang w:val="en-GB"/>
        </w:rPr>
        <w:t>________________________________________________</w:t>
      </w:r>
    </w:p>
    <w:p w14:paraId="52D7433C">
      <w:pPr>
        <w:jc w:val="both"/>
        <w:rPr>
          <w:rFonts w:cs="Arial"/>
          <w:lang w:val="en-GB"/>
        </w:rPr>
      </w:pPr>
    </w:p>
    <w:p w14:paraId="0E0D9882">
      <w:pPr>
        <w:ind w:left="1416" w:right="45" w:hanging="1410"/>
        <w:jc w:val="both"/>
        <w:rPr>
          <w:b/>
          <w:lang w:val="en-GB"/>
        </w:rPr>
      </w:pPr>
      <w:r>
        <w:rPr>
          <w:lang w:val="en-GB"/>
        </w:rPr>
        <w:t>15.00-15.30</w:t>
      </w:r>
      <w:r>
        <w:rPr>
          <w:lang w:val="en-GB"/>
        </w:rPr>
        <w:tab/>
      </w:r>
      <w:r>
        <w:rPr>
          <w:lang w:val="en-GB"/>
        </w:rPr>
        <w:t>Welcome opening. Diputación Foral Gipuzkoa</w:t>
      </w:r>
    </w:p>
    <w:p w14:paraId="524687FB">
      <w:pPr>
        <w:jc w:val="both"/>
        <w:rPr>
          <w:rFonts w:cs="Arial"/>
          <w:b/>
          <w:bCs/>
          <w:color w:val="0000C4"/>
          <w:lang w:val="en-GB"/>
        </w:rPr>
      </w:pPr>
    </w:p>
    <w:p w14:paraId="2369BCE6">
      <w:pPr>
        <w:jc w:val="both"/>
        <w:rPr>
          <w:rFonts w:cs="Arial"/>
          <w:b/>
          <w:bCs/>
          <w:color w:val="0000C4"/>
          <w:lang w:val="en-US"/>
        </w:rPr>
      </w:pPr>
      <w:r>
        <w:rPr>
          <w:b/>
          <w:bCs/>
          <w:color w:val="000000"/>
          <w:lang w:val="en-US"/>
        </w:rPr>
        <w:t>15.30-16.50</w:t>
      </w:r>
      <w:r>
        <w:rPr>
          <w:b/>
          <w:bCs/>
          <w:color w:val="0000C4"/>
          <w:lang w:val="en-US"/>
        </w:rPr>
        <w:t xml:space="preserve"> </w:t>
      </w:r>
      <w:r>
        <w:rPr>
          <w:rFonts w:cs="Arial"/>
          <w:b/>
          <w:bCs/>
          <w:color w:val="0000C4"/>
          <w:lang w:val="en-US"/>
        </w:rPr>
        <w:t xml:space="preserve">Plenary session I: </w:t>
      </w:r>
      <w:r>
        <w:rPr>
          <w:b/>
          <w:bCs/>
          <w:color w:val="0000C4"/>
          <w:lang w:val="en-US"/>
        </w:rPr>
        <w:t xml:space="preserve">Physical activity of centenarians  </w:t>
      </w:r>
    </w:p>
    <w:p w14:paraId="7F788955">
      <w:pPr>
        <w:jc w:val="both"/>
        <w:rPr>
          <w:b/>
          <w:bCs/>
          <w:color w:val="000000"/>
          <w:lang w:val="en-US"/>
        </w:rPr>
      </w:pPr>
    </w:p>
    <w:p w14:paraId="2462160F">
      <w:r>
        <w:rPr>
          <w:b/>
        </w:rPr>
        <w:t xml:space="preserve">15.30-15.50 </w:t>
      </w:r>
      <w:r>
        <w:rPr>
          <w:b/>
          <w:bCs/>
          <w:color w:val="000000"/>
        </w:rPr>
        <w:t>Mikel Lopez Saez de Asteasu</w:t>
      </w:r>
      <w:r>
        <w:t>.</w:t>
      </w:r>
      <w:r>
        <w:rPr>
          <w:b/>
        </w:rPr>
        <w:t xml:space="preserve"> </w:t>
      </w:r>
      <w:r>
        <w:rPr>
          <w:color w:val="212121"/>
          <w:shd w:val="clear" w:color="auto" w:fill="FFFFFF"/>
        </w:rPr>
        <w:t>Universidad Pública de Navarra,</w:t>
      </w:r>
      <w:r>
        <w:rPr>
          <w:rStyle w:val="50"/>
          <w:color w:val="212121"/>
          <w:shd w:val="clear" w:color="auto" w:fill="FFFFFF"/>
        </w:rPr>
        <w:t> </w:t>
      </w:r>
      <w:r>
        <w:rPr>
          <w:color w:val="212121"/>
          <w:shd w:val="clear" w:color="auto" w:fill="FFFFFF"/>
        </w:rPr>
        <w:t>IdiSNA</w:t>
      </w:r>
      <w:r>
        <w:rPr>
          <w:color w:val="000000"/>
        </w:rPr>
        <w:t>.</w:t>
      </w:r>
      <w:r>
        <w:rPr>
          <w:b/>
        </w:rPr>
        <w:t xml:space="preserve"> </w:t>
      </w:r>
    </w:p>
    <w:p w14:paraId="1E99A0A4">
      <w:pPr>
        <w:jc w:val="both"/>
      </w:pPr>
      <w:r>
        <w:t>El rol de la función física sobre la salud de los nonagenarios y centenarios</w:t>
      </w:r>
      <w:r>
        <w:rPr>
          <w:color w:val="000000"/>
        </w:rPr>
        <w:t>.</w:t>
      </w:r>
    </w:p>
    <w:p w14:paraId="5BD6A350">
      <w:pPr>
        <w:rPr>
          <w:b/>
        </w:rPr>
      </w:pPr>
      <w:r>
        <w:rPr>
          <w:color w:val="000000"/>
        </w:rPr>
        <w:t> </w:t>
      </w:r>
    </w:p>
    <w:p w14:paraId="577FF1E5">
      <w:pPr>
        <w:rPr>
          <w:b/>
          <w:color w:val="000000"/>
          <w:lang w:val="fr-FR"/>
        </w:rPr>
      </w:pPr>
      <w:r>
        <w:rPr>
          <w:b/>
          <w:lang w:val="fr-FR"/>
        </w:rPr>
        <w:t xml:space="preserve">15.50-16.10 </w:t>
      </w:r>
      <w:r>
        <w:rPr>
          <w:b/>
          <w:bCs/>
          <w:color w:val="222222"/>
          <w:shd w:val="clear" w:color="auto" w:fill="FFFFFF"/>
          <w:lang w:val="fr-FR"/>
        </w:rPr>
        <w:t>Olga Torres</w:t>
      </w:r>
      <w:r>
        <w:rPr>
          <w:color w:val="000000"/>
          <w:lang w:val="fr-FR"/>
        </w:rPr>
        <w:t>.</w:t>
      </w:r>
      <w:r>
        <w:rPr>
          <w:b/>
          <w:lang w:val="fr-FR"/>
        </w:rPr>
        <w:t xml:space="preserve"> </w:t>
      </w:r>
      <w:r>
        <w:rPr>
          <w:color w:val="212121"/>
          <w:shd w:val="clear" w:color="auto" w:fill="FFFFFF"/>
          <w:lang w:val="fr-FR"/>
        </w:rPr>
        <w:t>Hospital de la Santa Creu i Sant Pau</w:t>
      </w:r>
    </w:p>
    <w:p w14:paraId="5160BBA3">
      <w:pPr>
        <w:jc w:val="both"/>
        <w:rPr>
          <w:color w:val="000000"/>
        </w:rPr>
      </w:pPr>
      <w:r>
        <w:rPr>
          <w:color w:val="000000"/>
        </w:rPr>
        <w:t>Investigación clínica en pacientes centenarios ingresados en el hospital</w:t>
      </w:r>
    </w:p>
    <w:p w14:paraId="7F586A76">
      <w:pPr>
        <w:jc w:val="both"/>
        <w:rPr>
          <w:b/>
        </w:rPr>
      </w:pPr>
    </w:p>
    <w:p w14:paraId="0E58846C">
      <w:pPr>
        <w:rPr>
          <w:b/>
          <w:color w:val="000000"/>
        </w:rPr>
      </w:pPr>
      <w:r>
        <w:rPr>
          <w:b/>
        </w:rPr>
        <w:t>16.10-16.30</w:t>
      </w:r>
      <w:r>
        <w:rPr>
          <w:color w:val="000000"/>
        </w:rPr>
        <w:t>.</w:t>
      </w:r>
      <w:r>
        <w:rPr>
          <w:b/>
          <w:color w:val="000000"/>
        </w:rPr>
        <w:t xml:space="preserve"> </w:t>
      </w:r>
      <w:r>
        <w:rPr>
          <w:b/>
          <w:bCs/>
          <w:color w:val="222222"/>
          <w:shd w:val="clear" w:color="auto" w:fill="FFFFFF"/>
        </w:rPr>
        <w:t>Adrian Hernández</w:t>
      </w:r>
      <w:r>
        <w:rPr>
          <w:color w:val="000000"/>
        </w:rPr>
        <w:t>.</w:t>
      </w:r>
      <w:r>
        <w:rPr>
          <w:b/>
        </w:rPr>
        <w:t xml:space="preserve"> </w:t>
      </w:r>
      <w:r>
        <w:rPr>
          <w:color w:val="000000"/>
          <w:shd w:val="clear" w:color="auto" w:fill="FFFFFF"/>
        </w:rPr>
        <w:t xml:space="preserve">Universidad de Zaragoza </w:t>
      </w:r>
    </w:p>
    <w:p w14:paraId="281C1F30">
      <w:pPr>
        <w:rPr>
          <w:b/>
          <w:color w:val="000000"/>
        </w:rPr>
      </w:pPr>
      <w:r>
        <w:rPr>
          <w:color w:val="000000"/>
        </w:rPr>
        <w:t>Efectos de 12 semanas de entrenamiento de fuerza en centenarios frágiles institucionalizados</w:t>
      </w:r>
      <w:r>
        <w:rPr>
          <w:color w:val="000000"/>
          <w:shd w:val="clear" w:color="auto" w:fill="FFFFFF"/>
        </w:rPr>
        <w:t xml:space="preserve"> </w:t>
      </w:r>
    </w:p>
    <w:p w14:paraId="7A7EE14E"/>
    <w:p w14:paraId="5F2262A8">
      <w:pPr>
        <w:rPr>
          <w:color w:val="000000"/>
          <w:shd w:val="clear" w:color="auto" w:fill="FFFFFF"/>
        </w:rPr>
      </w:pPr>
      <w:r>
        <w:rPr>
          <w:b/>
        </w:rPr>
        <w:t>16.30-16.50</w:t>
      </w:r>
      <w:r>
        <w:rPr>
          <w:color w:val="000000"/>
        </w:rPr>
        <w:t>.</w:t>
      </w:r>
      <w:r>
        <w:rPr>
          <w:b/>
          <w:color w:val="000000"/>
        </w:rPr>
        <w:t xml:space="preserve"> </w:t>
      </w:r>
      <w:r>
        <w:rPr>
          <w:b/>
          <w:bCs/>
          <w:color w:val="222222"/>
          <w:shd w:val="clear" w:color="auto" w:fill="FFFFFF"/>
        </w:rPr>
        <w:t>Diego Marcos</w:t>
      </w:r>
      <w:r>
        <w:rPr>
          <w:color w:val="000000"/>
        </w:rPr>
        <w:t>.</w:t>
      </w:r>
      <w:r>
        <w:rPr>
          <w:b/>
        </w:rPr>
        <w:t xml:space="preserve"> </w:t>
      </w:r>
      <w:r>
        <w:rPr>
          <w:bCs/>
        </w:rPr>
        <w:t xml:space="preserve">Instituto Investigación </w:t>
      </w:r>
      <w:r>
        <w:rPr>
          <w:bCs/>
          <w:color w:val="000000"/>
          <w:shd w:val="clear" w:color="auto" w:fill="FFFFFF"/>
        </w:rPr>
        <w:t>Biogipuzkoa</w:t>
      </w:r>
      <w:r>
        <w:rPr>
          <w:color w:val="000000"/>
          <w:shd w:val="clear" w:color="auto" w:fill="FFFFFF"/>
        </w:rPr>
        <w:t xml:space="preserve"> </w:t>
      </w:r>
    </w:p>
    <w:p w14:paraId="3B27D570">
      <w:pPr>
        <w:rPr>
          <w:color w:val="000000"/>
        </w:rPr>
      </w:pPr>
      <w:r>
        <w:rPr>
          <w:color w:val="000000"/>
        </w:rPr>
        <w:t>Biomarcadores de fragilidad tras intervención en centenarios</w:t>
      </w:r>
    </w:p>
    <w:p w14:paraId="1BFBA30B"/>
    <w:p w14:paraId="7666B2BE">
      <w:pPr>
        <w:jc w:val="both"/>
        <w:rPr>
          <w:b/>
          <w:bCs/>
          <w:color w:val="0000C4"/>
          <w:lang w:val="en-US"/>
        </w:rPr>
      </w:pPr>
      <w:r>
        <w:rPr>
          <w:b/>
          <w:bCs/>
          <w:color w:val="000000"/>
          <w:lang w:val="en-US"/>
        </w:rPr>
        <w:t>17.00-19.30</w:t>
      </w:r>
      <w:r>
        <w:rPr>
          <w:b/>
          <w:bCs/>
          <w:color w:val="0000C4"/>
          <w:lang w:val="en-US"/>
        </w:rPr>
        <w:t xml:space="preserve"> Plenary session II: Genetic and biological characteristics of centenarians I</w:t>
      </w:r>
    </w:p>
    <w:p w14:paraId="00926DC8">
      <w:pPr>
        <w:rPr>
          <w:b/>
          <w:lang w:val="en-US"/>
        </w:rPr>
      </w:pPr>
    </w:p>
    <w:p w14:paraId="706401D7">
      <w:pPr>
        <w:rPr>
          <w:lang w:val="en-US"/>
        </w:rPr>
      </w:pPr>
      <w:r>
        <w:rPr>
          <w:b/>
          <w:lang w:val="en-US"/>
        </w:rPr>
        <w:t xml:space="preserve">17.00-17.20 </w:t>
      </w:r>
      <w:r>
        <w:rPr>
          <w:rFonts w:eastAsia="sans-serif"/>
          <w:b/>
          <w:bCs/>
          <w:color w:val="000000"/>
          <w:lang w:val="en-US"/>
        </w:rPr>
        <w:t>Reinald Pamplona</w:t>
      </w:r>
      <w:r>
        <w:rPr>
          <w:b/>
          <w:bCs/>
          <w:color w:val="000000"/>
          <w:lang w:val="en-US"/>
        </w:rPr>
        <w:t xml:space="preserve">. </w:t>
      </w:r>
      <w:r>
        <w:rPr>
          <w:lang w:val="en-US"/>
        </w:rPr>
        <w:t xml:space="preserve">Lleida Health Research Institute, </w:t>
      </w:r>
    </w:p>
    <w:p w14:paraId="158196E9">
      <w:pPr>
        <w:rPr>
          <w:color w:val="000000"/>
          <w:lang w:val="en-US"/>
        </w:rPr>
      </w:pPr>
      <w:r>
        <w:rPr>
          <w:rFonts w:eastAsia="sans-serif"/>
          <w:color w:val="000000"/>
          <w:lang w:val="en-US"/>
        </w:rPr>
        <w:t>Ether lipids, Aging and Longevity</w:t>
      </w:r>
      <w:r>
        <w:rPr>
          <w:color w:val="000000"/>
          <w:lang w:val="en-US"/>
        </w:rPr>
        <w:t xml:space="preserve"> </w:t>
      </w:r>
    </w:p>
    <w:p w14:paraId="411D700B">
      <w:pPr>
        <w:rPr>
          <w:lang w:val="en-US"/>
        </w:rPr>
      </w:pPr>
    </w:p>
    <w:p w14:paraId="1D12DF1D">
      <w:pPr>
        <w:rPr>
          <w:lang w:val="en-US"/>
        </w:rPr>
      </w:pPr>
      <w:r>
        <w:rPr>
          <w:b/>
          <w:lang w:val="en-US"/>
        </w:rPr>
        <w:t xml:space="preserve">17.20-17.40 </w:t>
      </w:r>
      <w:r>
        <w:rPr>
          <w:rFonts w:eastAsia="sans-serif"/>
          <w:b/>
          <w:bCs/>
          <w:color w:val="000000"/>
          <w:lang w:val="en-US"/>
        </w:rPr>
        <w:t>Mariona Jove</w:t>
      </w:r>
      <w:r>
        <w:rPr>
          <w:b/>
          <w:bCs/>
          <w:color w:val="000000"/>
          <w:lang w:val="en-US"/>
        </w:rPr>
        <w:t xml:space="preserve">. </w:t>
      </w:r>
      <w:r>
        <w:rPr>
          <w:lang w:val="en-US"/>
        </w:rPr>
        <w:t xml:space="preserve">Lleida Health Research Institute, </w:t>
      </w:r>
    </w:p>
    <w:p w14:paraId="203AF29B">
      <w:pPr>
        <w:rPr>
          <w:color w:val="000000"/>
          <w:lang w:val="en-US"/>
        </w:rPr>
      </w:pPr>
      <w:r>
        <w:rPr>
          <w:rFonts w:eastAsia="sans-serif"/>
          <w:color w:val="000000"/>
          <w:lang w:val="en-US"/>
        </w:rPr>
        <w:t xml:space="preserve">The Role of Glycosphingolipids in Aging and Extreme Longevity </w:t>
      </w:r>
    </w:p>
    <w:p w14:paraId="30102502">
      <w:pPr>
        <w:rPr>
          <w:b/>
          <w:lang w:val="en-US"/>
        </w:rPr>
      </w:pPr>
    </w:p>
    <w:p w14:paraId="7AC789B0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</w:rPr>
        <w:t xml:space="preserve">17.40-18.00 </w:t>
      </w:r>
      <w:r>
        <w:rPr>
          <w:b/>
          <w:bCs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Ander Matheu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Instituto Investigación Biogipuzkoa,</w:t>
      </w:r>
    </w:p>
    <w:p w14:paraId="1690784E">
      <w:pPr>
        <w:rPr>
          <w:color w:val="000000"/>
        </w:rPr>
      </w:pPr>
      <w:r>
        <w:rPr>
          <w:rFonts w:eastAsia="sans-serif"/>
          <w:color w:val="000000"/>
          <w:lang w:eastAsia="zh-CN" w:bidi="ar"/>
        </w:rPr>
        <w:t>Expresión génica diferencial en cerebros de Centenarios</w:t>
      </w:r>
    </w:p>
    <w:p w14:paraId="22597839">
      <w:pPr>
        <w:rPr>
          <w:b/>
        </w:rPr>
      </w:pPr>
    </w:p>
    <w:p w14:paraId="51EE1610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</w:rPr>
        <w:t xml:space="preserve">18.00-18.20 </w:t>
      </w:r>
      <w:r>
        <w:rPr>
          <w:b/>
          <w:bCs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Consuelo Borras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Universidad de Valencia,</w:t>
      </w:r>
    </w:p>
    <w:p w14:paraId="6A4DA94D">
      <w:pPr>
        <w:rPr>
          <w:color w:val="000000"/>
        </w:rPr>
      </w:pPr>
      <w:r>
        <w:rPr>
          <w:rFonts w:eastAsia="sans-serif"/>
          <w:color w:val="000000"/>
          <w:lang w:eastAsia="zh-CN" w:bidi="ar"/>
        </w:rPr>
        <w:t xml:space="preserve">Expresión Diferencial de proteínas y miRNAs en vesiculas extracelulares de centenarios y sus descendientes. </w:t>
      </w:r>
    </w:p>
    <w:p w14:paraId="78FC042E">
      <w:pPr>
        <w:jc w:val="both"/>
        <w:rPr>
          <w:b/>
        </w:rPr>
      </w:pPr>
    </w:p>
    <w:p w14:paraId="3834242A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</w:rPr>
        <w:t xml:space="preserve">18.20-18.40 </w:t>
      </w:r>
      <w:r>
        <w:rPr>
          <w:b/>
          <w:bCs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Antonio Ayala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Universidad de Sevilla</w:t>
      </w:r>
    </w:p>
    <w:p w14:paraId="401B80CA">
      <w:pPr>
        <w:jc w:val="both"/>
        <w:rPr>
          <w:b/>
        </w:rPr>
      </w:pPr>
      <w:r>
        <w:rPr>
          <w:rFonts w:eastAsia="sans-serif"/>
          <w:color w:val="000000"/>
        </w:rPr>
        <w:t>Péptidos de interés clínico en suero de centenarios</w:t>
      </w:r>
    </w:p>
    <w:p w14:paraId="1803636F">
      <w:pPr>
        <w:jc w:val="both"/>
        <w:rPr>
          <w:b/>
        </w:rPr>
      </w:pPr>
    </w:p>
    <w:p w14:paraId="2BFB8540">
      <w:pPr>
        <w:rPr>
          <w:b/>
          <w:lang w:val="en-US"/>
        </w:rPr>
      </w:pPr>
      <w:r>
        <w:rPr>
          <w:b/>
          <w:lang w:val="en-US"/>
        </w:rPr>
        <w:t xml:space="preserve">18.40-19.00 </w:t>
      </w:r>
      <w:r>
        <w:rPr>
          <w:rFonts w:eastAsia="sans-serif"/>
          <w:b/>
          <w:bCs/>
          <w:color w:val="000000"/>
          <w:lang w:val="en-US"/>
        </w:rPr>
        <w:t>Natalia Mota</w:t>
      </w:r>
      <w:r>
        <w:rPr>
          <w:b/>
          <w:bCs/>
          <w:color w:val="000000"/>
          <w:lang w:val="en-US"/>
        </w:rPr>
        <w:t xml:space="preserve">. </w:t>
      </w:r>
      <w:r>
        <w:rPr>
          <w:lang w:val="en-US"/>
        </w:rPr>
        <w:t xml:space="preserve">Lleida Health Research Institute, </w:t>
      </w:r>
    </w:p>
    <w:p w14:paraId="42C1C983">
      <w:pPr>
        <w:rPr>
          <w:color w:val="000000"/>
          <w:shd w:val="clear" w:color="auto" w:fill="FFFFFF"/>
          <w:lang w:val="en-US"/>
        </w:rPr>
      </w:pPr>
      <w:r>
        <w:rPr>
          <w:rFonts w:eastAsia="sans-serif"/>
          <w:color w:val="000000"/>
          <w:lang w:val="en-US"/>
        </w:rPr>
        <w:t>The Circulating Bioenergetic Lipotype as a Distinctive Signature in Centenarians</w:t>
      </w:r>
    </w:p>
    <w:p w14:paraId="65453158">
      <w:pPr>
        <w:rPr>
          <w:b/>
          <w:lang w:val="en-US"/>
        </w:rPr>
      </w:pPr>
    </w:p>
    <w:p w14:paraId="3922F4E6">
      <w:r>
        <w:rPr>
          <w:b/>
        </w:rPr>
        <w:t xml:space="preserve">19.00-19.20 </w:t>
      </w:r>
      <w:r>
        <w:rPr>
          <w:b/>
          <w:bCs/>
          <w:shd w:val="clear" w:color="auto" w:fill="FFFFFF"/>
        </w:rPr>
        <w:t>María Trinidad Herrero</w:t>
      </w:r>
      <w:r>
        <w:t>.</w:t>
      </w:r>
      <w:r>
        <w:rPr>
          <w:b/>
        </w:rPr>
        <w:t xml:space="preserve"> </w:t>
      </w:r>
      <w:r>
        <w:rPr>
          <w:color w:val="212121"/>
          <w:shd w:val="clear" w:color="auto" w:fill="FFFFFF"/>
        </w:rPr>
        <w:t>Instituto de Investigación Envejecimiento</w:t>
      </w:r>
      <w:r>
        <w:t>, Universidad de Murcia</w:t>
      </w:r>
      <w:r>
        <w:rPr>
          <w:color w:val="000000"/>
        </w:rPr>
        <w:t>.</w:t>
      </w:r>
      <w:r>
        <w:rPr>
          <w:b/>
        </w:rPr>
        <w:t xml:space="preserve"> </w:t>
      </w:r>
    </w:p>
    <w:p w14:paraId="710976F8">
      <w:pPr>
        <w:rPr>
          <w:b/>
        </w:rPr>
      </w:pPr>
      <w:r>
        <w:rPr>
          <w:color w:val="212121"/>
        </w:rPr>
        <w:t>Composición corporal en centenarios (Pending)</w:t>
      </w:r>
    </w:p>
    <w:p w14:paraId="46C9BE51">
      <w:pPr>
        <w:rPr>
          <w:b/>
        </w:rPr>
      </w:pPr>
    </w:p>
    <w:p w14:paraId="2BC1410F">
      <w:pPr>
        <w:rPr>
          <w:color w:val="000000" w:themeColor="text1"/>
          <w:shd w:val="clear" w:color="auto" w:fill="FFFFFF"/>
          <w:lang w:val="en-US"/>
          <w14:textFill>
            <w14:solidFill>
              <w14:schemeClr w14:val="tx1"/>
            </w14:solidFill>
          </w14:textFill>
        </w:rPr>
      </w:pPr>
      <w:r>
        <w:rPr>
          <w:b/>
          <w:lang w:val="en-US"/>
        </w:rPr>
        <w:t xml:space="preserve">20.30 </w:t>
      </w:r>
      <w:r>
        <w:rPr>
          <w:color w:val="000000" w:themeColor="text1"/>
          <w:shd w:val="clear" w:color="auto" w:fill="FFFFFF"/>
          <w:lang w:val="en-US"/>
          <w14:textFill>
            <w14:solidFill>
              <w14:schemeClr w14:val="tx1"/>
            </w14:solidFill>
          </w14:textFill>
        </w:rPr>
        <w:t>Dinner</w:t>
      </w:r>
    </w:p>
    <w:p w14:paraId="61B6DFA7">
      <w:pPr>
        <w:rPr>
          <w:b/>
          <w:bCs/>
          <w:color w:val="222222"/>
          <w:shd w:val="clear" w:color="auto" w:fill="FFFFFF"/>
          <w:lang w:val="en-US"/>
        </w:rPr>
      </w:pPr>
    </w:p>
    <w:p w14:paraId="6EF089B3">
      <w:pPr>
        <w:rPr>
          <w:b/>
          <w:bCs/>
          <w:color w:val="222222"/>
          <w:shd w:val="clear" w:color="auto" w:fill="FFFFFF"/>
          <w:lang w:val="en-US"/>
        </w:rPr>
      </w:pPr>
    </w:p>
    <w:p w14:paraId="6BF76F68">
      <w:pPr>
        <w:jc w:val="both"/>
        <w:rPr>
          <w:b/>
          <w:bCs/>
          <w:color w:val="000000"/>
          <w:lang w:val="en-US"/>
        </w:rPr>
      </w:pPr>
    </w:p>
    <w:p w14:paraId="39C01C42">
      <w:pPr>
        <w:jc w:val="both"/>
        <w:rPr>
          <w:b/>
          <w:bCs/>
          <w:color w:val="000000"/>
          <w:lang w:val="en-US"/>
        </w:rPr>
      </w:pPr>
    </w:p>
    <w:p w14:paraId="5073F5C8">
      <w:pPr>
        <w:jc w:val="both"/>
        <w:rPr>
          <w:b/>
          <w:sz w:val="36"/>
          <w:lang w:val="en-US"/>
        </w:rPr>
      </w:pPr>
    </w:p>
    <w:p w14:paraId="19BD5993">
      <w:pPr>
        <w:jc w:val="both"/>
        <w:rPr>
          <w:b/>
          <w:sz w:val="36"/>
          <w:lang w:val="en-US"/>
        </w:rPr>
      </w:pPr>
    </w:p>
    <w:p w14:paraId="55E485DE">
      <w:pPr>
        <w:jc w:val="both"/>
        <w:rPr>
          <w:b/>
          <w:sz w:val="36"/>
          <w:lang w:val="en-GB"/>
        </w:rPr>
      </w:pPr>
      <w:r>
        <w:rPr>
          <w:b/>
          <w:sz w:val="36"/>
          <w:lang w:val="en-US"/>
        </w:rPr>
        <w:t xml:space="preserve">Day 2. </w:t>
      </w:r>
      <w:r>
        <w:rPr>
          <w:b/>
          <w:sz w:val="36"/>
          <w:lang w:val="en-GB"/>
        </w:rPr>
        <w:t>Friday, 4</w:t>
      </w:r>
      <w:r>
        <w:rPr>
          <w:b/>
          <w:sz w:val="36"/>
          <w:szCs w:val="36"/>
          <w:vertAlign w:val="superscript"/>
          <w:lang w:val="en-GB"/>
        </w:rPr>
        <w:t>th</w:t>
      </w:r>
      <w:r>
        <w:rPr>
          <w:b/>
          <w:sz w:val="36"/>
          <w:lang w:val="en-GB"/>
        </w:rPr>
        <w:t xml:space="preserve"> April 2023</w:t>
      </w:r>
    </w:p>
    <w:p w14:paraId="00B20B1C">
      <w:pPr>
        <w:jc w:val="both"/>
        <w:rPr>
          <w:b/>
          <w:sz w:val="36"/>
        </w:rPr>
      </w:pPr>
      <w:r>
        <w:rPr>
          <w:b/>
          <w:sz w:val="36"/>
        </w:rPr>
        <w:t>________________________________________________</w:t>
      </w:r>
    </w:p>
    <w:p w14:paraId="0B31F2FA">
      <w:pPr>
        <w:jc w:val="both"/>
        <w:rPr>
          <w:rFonts w:cs="Arial"/>
        </w:rPr>
      </w:pPr>
    </w:p>
    <w:p w14:paraId="1B04948C">
      <w:pPr>
        <w:jc w:val="both"/>
        <w:rPr>
          <w:rFonts w:cs="Arial"/>
          <w:b/>
          <w:bCs/>
          <w:color w:val="0000C4"/>
        </w:rPr>
      </w:pPr>
      <w:r>
        <w:rPr>
          <w:b/>
          <w:bCs/>
          <w:color w:val="000000"/>
        </w:rPr>
        <w:t>10.00-10.30</w:t>
      </w:r>
      <w:r>
        <w:rPr>
          <w:b/>
          <w:bCs/>
          <w:color w:val="0000C4"/>
        </w:rPr>
        <w:t xml:space="preserve"> Plenary session III: Grupo Español de Investigación Centenarios –</w:t>
      </w:r>
    </w:p>
    <w:p w14:paraId="3775CFB4">
      <w:pPr>
        <w:rPr>
          <w:b/>
          <w:bCs/>
          <w:color w:val="000000"/>
        </w:rPr>
      </w:pPr>
    </w:p>
    <w:p w14:paraId="23EAD22D">
      <w:pPr>
        <w:rPr>
          <w:b/>
        </w:rPr>
      </w:pPr>
      <w:r>
        <w:rPr>
          <w:b/>
        </w:rPr>
        <w:t xml:space="preserve">10.00-10.30 </w:t>
      </w:r>
      <w:r>
        <w:rPr>
          <w:b/>
          <w:bCs/>
          <w:color w:val="222222"/>
          <w:shd w:val="clear" w:color="auto" w:fill="FFFFFF"/>
        </w:rPr>
        <w:t>José Viña</w:t>
      </w:r>
      <w:r>
        <w:t>.</w:t>
      </w:r>
      <w:r>
        <w:rPr>
          <w:b/>
        </w:rPr>
        <w:t xml:space="preserve"> </w:t>
      </w:r>
      <w:r>
        <w:t>Universidad Valencia</w:t>
      </w:r>
    </w:p>
    <w:p w14:paraId="684F578C">
      <w:pPr>
        <w:rPr>
          <w:rFonts w:eastAsia="Segoe UI"/>
          <w:color w:val="000000"/>
        </w:rPr>
      </w:pPr>
      <w:r>
        <w:rPr>
          <w:rFonts w:eastAsia="sans-serif"/>
          <w:color w:val="000000"/>
          <w:lang w:eastAsia="zh-CN" w:bidi="ar"/>
        </w:rPr>
        <w:t>Origen y evolución del grupo español para el estudio de los centenarios. </w:t>
      </w:r>
    </w:p>
    <w:p w14:paraId="787FDEF2">
      <w:pPr>
        <w:rPr>
          <w:b/>
          <w:bCs/>
          <w:color w:val="000000"/>
        </w:rPr>
      </w:pPr>
    </w:p>
    <w:p w14:paraId="7D38C663">
      <w:pPr>
        <w:rPr>
          <w:b/>
          <w:bCs/>
          <w:color w:val="0000C4"/>
          <w:lang w:val="en-US"/>
        </w:rPr>
      </w:pPr>
      <w:r>
        <w:rPr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10.30-13.40 </w:t>
      </w:r>
      <w:r>
        <w:rPr>
          <w:b/>
          <w:bCs/>
          <w:color w:val="0000C4"/>
          <w:lang w:val="en-US"/>
        </w:rPr>
        <w:t xml:space="preserve">Plenary session IV: Demographic and clinical characteristics of centenarians  </w:t>
      </w:r>
    </w:p>
    <w:p w14:paraId="344AADC4">
      <w:pPr>
        <w:rPr>
          <w:b/>
          <w:lang w:val="en-US"/>
        </w:rPr>
      </w:pPr>
    </w:p>
    <w:p w14:paraId="25807516">
      <w:pPr>
        <w:pStyle w:val="1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/>
        </w:rPr>
        <w:t xml:space="preserve">10.30-10.50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Carmen Elias de Molins Peña</w:t>
      </w: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val="es-ES"/>
        </w:rPr>
        <w:t>.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val="es-ES"/>
        </w:rPr>
        <w:t xml:space="preserve"> </w:t>
      </w:r>
      <w:r>
        <w:rPr>
          <w:color w:val="000000"/>
        </w:rPr>
        <w:t>Grupo de investigación en enfermedades crónicas EpiChron, Zaragoza</w:t>
      </w:r>
      <w:r>
        <w:rPr>
          <w:rFonts w:hint="default"/>
          <w:color w:val="000000"/>
          <w:lang w:val="es-ES"/>
        </w:rPr>
        <w:t xml:space="preserve">.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Cohorte EpiChron. </w:t>
      </w:r>
    </w:p>
    <w:p w14:paraId="0C1064AA">
      <w:pPr>
        <w:rPr>
          <w:b/>
          <w:lang w:val="en-US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val="es-ES"/>
        </w:rPr>
        <w:t>I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</w:rPr>
        <w:t>nflammaging en últimas décadas de la vida</w:t>
      </w: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lang w:val="es-ES"/>
        </w:rPr>
        <w:t>.</w:t>
      </w:r>
      <w:bookmarkStart w:id="0" w:name="_GoBack"/>
      <w:bookmarkEnd w:id="0"/>
      <w:r>
        <w:rPr>
          <w:color w:val="000000"/>
        </w:rPr>
        <w:t xml:space="preserve"> </w:t>
      </w:r>
    </w:p>
    <w:p w14:paraId="00D02A01">
      <w:pPr>
        <w:rPr>
          <w:b/>
          <w:lang w:val="en-US"/>
        </w:rPr>
      </w:pPr>
    </w:p>
    <w:p w14:paraId="4CE993F2">
      <w:pPr>
        <w:rPr>
          <w:lang w:val="en-US"/>
        </w:rPr>
      </w:pPr>
      <w:r>
        <w:rPr>
          <w:b/>
          <w:lang w:val="en-US"/>
        </w:rPr>
        <w:t xml:space="preserve">10.50-11.10 </w:t>
      </w:r>
      <w:r>
        <w:rPr>
          <w:b/>
          <w:color w:val="000000"/>
          <w:lang w:val="en-US"/>
        </w:rPr>
        <w:t>Joaquim Sol</w:t>
      </w:r>
      <w:r>
        <w:rPr>
          <w:lang w:val="en-US"/>
        </w:rPr>
        <w:t>.</w:t>
      </w:r>
      <w:r>
        <w:rPr>
          <w:b/>
          <w:lang w:val="en-US"/>
        </w:rPr>
        <w:t xml:space="preserve"> </w:t>
      </w:r>
      <w:r>
        <w:rPr>
          <w:lang w:val="en-US"/>
        </w:rPr>
        <w:t>Lleida Health Research Institute</w:t>
      </w:r>
    </w:p>
    <w:p w14:paraId="7D55342F">
      <w:pPr>
        <w:rPr>
          <w:rFonts w:eastAsia="sans-serif"/>
          <w:color w:val="000000"/>
          <w:lang w:val="en-US"/>
        </w:rPr>
      </w:pPr>
      <w:r>
        <w:rPr>
          <w:rFonts w:eastAsia="sans-serif"/>
          <w:color w:val="000000"/>
          <w:lang w:val="en-US"/>
        </w:rPr>
        <w:t>Clinical Characterization of the Centenarian Population in Catalonia</w:t>
      </w:r>
    </w:p>
    <w:p w14:paraId="516B666A">
      <w:pPr>
        <w:rPr>
          <w:b/>
          <w:lang w:val="en-US"/>
        </w:rPr>
      </w:pPr>
    </w:p>
    <w:p w14:paraId="111AA149">
      <w:r>
        <w:rPr>
          <w:b/>
        </w:rPr>
        <w:t xml:space="preserve">11.10-11.30 </w:t>
      </w:r>
      <w:r>
        <w:rPr>
          <w:b/>
          <w:bCs/>
          <w:color w:val="222222"/>
          <w:shd w:val="clear" w:color="auto" w:fill="FFFFFF"/>
        </w:rPr>
        <w:t>Sara Cruces</w:t>
      </w:r>
      <w:r>
        <w:rPr>
          <w:color w:val="000000"/>
        </w:rPr>
        <w:t>.</w:t>
      </w:r>
      <w:r>
        <w:rPr>
          <w:b/>
        </w:rPr>
        <w:t xml:space="preserve"> </w:t>
      </w:r>
      <w:r>
        <w:rPr>
          <w:color w:val="000000"/>
          <w:shd w:val="clear" w:color="auto" w:fill="FFFFFF"/>
        </w:rPr>
        <w:t>Instituto Investigación Biogipuzkoa</w:t>
      </w:r>
    </w:p>
    <w:p w14:paraId="4AA14511">
      <w:pPr>
        <w:jc w:val="both"/>
      </w:pPr>
      <w:r>
        <w:rPr>
          <w:color w:val="000000"/>
        </w:rPr>
        <w:t>Datos del Sistema de Salud Vasco (Osakidetza) para descifrar las características de la población centenaria en Guipúzcoa</w:t>
      </w:r>
    </w:p>
    <w:p w14:paraId="3F4DDD6D">
      <w:pPr>
        <w:rPr>
          <w:b/>
        </w:rPr>
      </w:pPr>
    </w:p>
    <w:p w14:paraId="35969AD1">
      <w:r>
        <w:rPr>
          <w:b/>
        </w:rPr>
        <w:t xml:space="preserve">11.30-11.50 </w:t>
      </w:r>
      <w:r>
        <w:rPr>
          <w:rFonts w:eastAsia="sans-serif"/>
          <w:b/>
          <w:bCs/>
          <w:color w:val="000000"/>
        </w:rPr>
        <w:t>Ángel Belenguer</w:t>
      </w:r>
      <w:r>
        <w:t>.</w:t>
      </w:r>
      <w:r>
        <w:rPr>
          <w:b/>
        </w:rPr>
        <w:t xml:space="preserve"> </w:t>
      </w:r>
      <w:r>
        <w:rPr>
          <w:color w:val="212121"/>
          <w:shd w:val="clear" w:color="auto" w:fill="FFFFFF"/>
        </w:rPr>
        <w:t>Hospital de la Ribera. Alzira</w:t>
      </w:r>
      <w:r>
        <w:rPr>
          <w:color w:val="000000"/>
        </w:rPr>
        <w:t>.</w:t>
      </w:r>
      <w:r>
        <w:rPr>
          <w:b/>
        </w:rPr>
        <w:t xml:space="preserve"> </w:t>
      </w:r>
    </w:p>
    <w:p w14:paraId="790AC88D">
      <w:pPr>
        <w:pStyle w:val="16"/>
        <w:spacing w:before="0" w:beforeAutospacing="0" w:after="0" w:afterAutospacing="0"/>
        <w:rPr>
          <w:rFonts w:eastAsia="sans-serif"/>
          <w:color w:val="000000"/>
        </w:rPr>
      </w:pPr>
      <w:r>
        <w:rPr>
          <w:rFonts w:eastAsia="sans-serif"/>
          <w:color w:val="000000"/>
        </w:rPr>
        <w:t>Mortalidad de la cohorte Alzira de descendientes de centenarios</w:t>
      </w:r>
    </w:p>
    <w:p w14:paraId="0063B4D3">
      <w:pPr>
        <w:rPr>
          <w:b/>
        </w:rPr>
      </w:pPr>
    </w:p>
    <w:p w14:paraId="6B14231C">
      <w:pPr>
        <w:rPr>
          <w:color w:val="000000"/>
          <w:shd w:val="clear" w:color="auto" w:fill="FFFFFF"/>
        </w:rPr>
      </w:pPr>
      <w:r>
        <w:rPr>
          <w:b/>
        </w:rPr>
        <w:t xml:space="preserve">11.50-12.10 </w:t>
      </w:r>
      <w:r>
        <w:rPr>
          <w:b/>
          <w:bCs/>
          <w:color w:val="222222"/>
          <w:shd w:val="clear" w:color="auto" w:fill="FFFFFF"/>
        </w:rPr>
        <w:t>Francisco José García-García</w:t>
      </w:r>
      <w:r>
        <w:rPr>
          <w:color w:val="000000"/>
        </w:rPr>
        <w:t>.</w:t>
      </w:r>
      <w:r>
        <w:rPr>
          <w:b/>
        </w:rPr>
        <w:t xml:space="preserve"> </w:t>
      </w:r>
      <w:r>
        <w:rPr>
          <w:color w:val="000000"/>
          <w:shd w:val="clear" w:color="auto" w:fill="FFFFFF"/>
        </w:rPr>
        <w:t>Complejo Hospitalario Toledo</w:t>
      </w:r>
    </w:p>
    <w:p w14:paraId="6A25F5CC">
      <w:pPr>
        <w:rPr>
          <w:b/>
        </w:rPr>
      </w:pPr>
      <w:r>
        <w:rPr>
          <w:rFonts w:eastAsia="MS Mincho"/>
        </w:rPr>
        <w:t>La huella omica del Envejecimiento Exitoso</w:t>
      </w:r>
      <w:r>
        <w:rPr>
          <w:b/>
        </w:rPr>
        <w:t xml:space="preserve"> </w:t>
      </w:r>
    </w:p>
    <w:p w14:paraId="0B74328D">
      <w:pPr>
        <w:rPr>
          <w:b/>
        </w:rPr>
      </w:pPr>
    </w:p>
    <w:p w14:paraId="54467361">
      <w:pPr>
        <w:rPr>
          <w:color w:val="000000"/>
        </w:rPr>
      </w:pPr>
      <w:r>
        <w:rPr>
          <w:b/>
        </w:rPr>
        <w:t xml:space="preserve">12.10-12.30 </w:t>
      </w:r>
      <w:r>
        <w:rPr>
          <w:b/>
          <w:bCs/>
          <w:color w:val="222222"/>
          <w:shd w:val="clear" w:color="auto" w:fill="FFFFFF"/>
        </w:rPr>
        <w:t>Sara Cruces</w:t>
      </w:r>
      <w:r>
        <w:rPr>
          <w:color w:val="000000"/>
        </w:rPr>
        <w:t>.</w:t>
      </w:r>
      <w:r>
        <w:rPr>
          <w:b/>
        </w:rPr>
        <w:t xml:space="preserve"> </w:t>
      </w:r>
      <w:r>
        <w:rPr>
          <w:color w:val="000000"/>
          <w:shd w:val="clear" w:color="auto" w:fill="FFFFFF"/>
        </w:rPr>
        <w:t>Instituto Investigación Biogipuzkoa</w:t>
      </w:r>
      <w:r>
        <w:rPr>
          <w:color w:val="000000"/>
        </w:rPr>
        <w:t xml:space="preserve"> </w:t>
      </w:r>
    </w:p>
    <w:p w14:paraId="3C39F096">
      <w:r>
        <w:rPr>
          <w:color w:val="000000"/>
        </w:rPr>
        <w:t>Uso de Registros electrónicos para descifrar patrones de envejecimiento saludable</w:t>
      </w:r>
    </w:p>
    <w:p w14:paraId="7F539AA1">
      <w:pPr>
        <w:rPr>
          <w:b/>
        </w:rPr>
      </w:pPr>
    </w:p>
    <w:p w14:paraId="76ABB1EF">
      <w:pPr>
        <w:rPr>
          <w:color w:val="FF0000"/>
        </w:rPr>
      </w:pPr>
      <w:r>
        <w:rPr>
          <w:b/>
        </w:rPr>
        <w:t xml:space="preserve">12.30-12.50 </w:t>
      </w:r>
      <w:r>
        <w:rPr>
          <w:b/>
          <w:bCs/>
          <w:shd w:val="clear" w:color="auto" w:fill="FFFFFF"/>
        </w:rPr>
        <w:t>Mabel Morales</w:t>
      </w:r>
      <w:r>
        <w:t>.</w:t>
      </w:r>
      <w:r>
        <w:rPr>
          <w:b/>
        </w:rPr>
        <w:t xml:space="preserve"> </w:t>
      </w:r>
      <w:r>
        <w:rPr>
          <w:bCs/>
        </w:rPr>
        <w:t>I</w:t>
      </w:r>
      <w:r>
        <w:rPr>
          <w:bCs/>
          <w:color w:val="212121"/>
          <w:shd w:val="clear" w:color="auto" w:fill="FFFFFF"/>
        </w:rPr>
        <w:t>nstitute of Data Science and Artificial Intelligence (DATAI), Universidad de Navarra,</w:t>
      </w:r>
      <w:r>
        <w:rPr>
          <w:rStyle w:val="50"/>
          <w:rFonts w:ascii="Segoe UI" w:hAnsi="Segoe UI" w:cs="Segoe UI"/>
          <w:color w:val="212121"/>
          <w:shd w:val="clear" w:color="auto" w:fill="FFFFFF"/>
        </w:rPr>
        <w:t> </w:t>
      </w:r>
      <w:r>
        <w:rPr>
          <w:color w:val="FF0000"/>
        </w:rPr>
        <w:t xml:space="preserve"> </w:t>
      </w:r>
    </w:p>
    <w:p w14:paraId="04D24789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Registros Electrónicos y Biología Computacional. Nexo en envejecimiento</w:t>
      </w:r>
    </w:p>
    <w:p w14:paraId="5479CA4C">
      <w:pPr>
        <w:rPr>
          <w:b/>
        </w:rPr>
      </w:pPr>
    </w:p>
    <w:p w14:paraId="7207F58D">
      <w:r>
        <w:rPr>
          <w:b/>
        </w:rPr>
        <w:t xml:space="preserve">12.50-13.10 </w:t>
      </w:r>
      <w:r>
        <w:rPr>
          <w:b/>
          <w:bCs/>
          <w:color w:val="222222"/>
          <w:shd w:val="clear" w:color="auto" w:fill="FFFFFF"/>
        </w:rPr>
        <w:t>Itziar Vergara</w:t>
      </w:r>
      <w:r>
        <w:rPr>
          <w:color w:val="000000"/>
        </w:rPr>
        <w:t>.</w:t>
      </w:r>
      <w:r>
        <w:rPr>
          <w:b/>
        </w:rPr>
        <w:t xml:space="preserve"> </w:t>
      </w:r>
      <w:r>
        <w:rPr>
          <w:color w:val="000000"/>
          <w:shd w:val="clear" w:color="auto" w:fill="FFFFFF"/>
        </w:rPr>
        <w:t>Instituto Investigación Biogipuzkoa</w:t>
      </w:r>
    </w:p>
    <w:p w14:paraId="5A86A817">
      <w:r>
        <w:t>Estudio poblacional en un pueblo de la región de Guipúzcoa</w:t>
      </w:r>
    </w:p>
    <w:p w14:paraId="09A9CCA6">
      <w:pPr>
        <w:jc w:val="both"/>
        <w:rPr>
          <w:b/>
        </w:rPr>
      </w:pPr>
    </w:p>
    <w:p w14:paraId="28204EED">
      <w:pPr>
        <w:jc w:val="both"/>
      </w:pPr>
      <w:r>
        <w:rPr>
          <w:b/>
        </w:rPr>
        <w:t xml:space="preserve">13.10-13.40 </w:t>
      </w:r>
      <w:r>
        <w:t>Clausura – Dirección Investigación-Innovación Departamento Salud</w:t>
      </w:r>
    </w:p>
    <w:p w14:paraId="51DD288B">
      <w:pPr>
        <w:jc w:val="both"/>
        <w:rPr>
          <w:b/>
          <w:bCs/>
          <w:color w:val="0000C4"/>
        </w:rPr>
      </w:pPr>
    </w:p>
    <w:p w14:paraId="30EA9FC2">
      <w:pPr>
        <w:jc w:val="both"/>
        <w:rPr>
          <w:bCs/>
          <w:color w:val="000000"/>
        </w:rPr>
      </w:pPr>
    </w:p>
    <w:p w14:paraId="34D96252">
      <w:pPr>
        <w:jc w:val="both"/>
        <w:rPr>
          <w:bCs/>
          <w:color w:val="000000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573" w:right="985" w:bottom="1417" w:left="1701" w:header="397" w:footer="1247" w:gutter="0"/>
      <w:pgNumType w:start="1"/>
      <w:cols w:space="708" w:num="1"/>
      <w:titlePg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Lucida Grande">
    <w:altName w:val="Courier New"/>
    <w:panose1 w:val="020B0600040502020204"/>
    <w:charset w:val="00"/>
    <w:family w:val="swiss"/>
    <w:pitch w:val="default"/>
    <w:sig w:usb0="00000000" w:usb1="00000000" w:usb2="00000000" w:usb3="00000000" w:csb0="000001B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ans-serif">
    <w:altName w:val="Segoe Print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8AA63B">
    <w:pPr>
      <w:pStyle w:val="17"/>
      <w:framePr w:wrap="around" w:vAnchor="text" w:hAnchor="margin" w:xAlign="right" w:y="1"/>
      <w:rPr>
        <w:rStyle w:val="10"/>
        <w:sz w:val="14"/>
      </w:rPr>
    </w:pPr>
    <w:r>
      <w:rPr>
        <w:rStyle w:val="10"/>
        <w:sz w:val="14"/>
      </w:rPr>
      <w:fldChar w:fldCharType="begin"/>
    </w:r>
    <w:r>
      <w:rPr>
        <w:rStyle w:val="10"/>
        <w:sz w:val="14"/>
      </w:rPr>
      <w:instrText xml:space="preserve">PAGE  </w:instrText>
    </w:r>
    <w:r>
      <w:rPr>
        <w:rStyle w:val="10"/>
        <w:sz w:val="14"/>
      </w:rPr>
      <w:fldChar w:fldCharType="separate"/>
    </w:r>
    <w:r>
      <w:rPr>
        <w:rStyle w:val="10"/>
        <w:sz w:val="14"/>
      </w:rPr>
      <w:t>2</w:t>
    </w:r>
    <w:r>
      <w:rPr>
        <w:rStyle w:val="10"/>
        <w:sz w:val="14"/>
      </w:rPr>
      <w:fldChar w:fldCharType="end"/>
    </w:r>
  </w:p>
  <w:p w14:paraId="2E109558">
    <w:pPr>
      <w:pStyle w:val="17"/>
      <w:ind w:right="360"/>
      <w:rPr>
        <w:sz w:val="12"/>
        <w:lang w:val="en-GB"/>
      </w:rPr>
    </w:pPr>
    <w:r>
      <w:rPr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-469900</wp:posOffset>
          </wp:positionH>
          <wp:positionV relativeFrom="paragraph">
            <wp:posOffset>165100</wp:posOffset>
          </wp:positionV>
          <wp:extent cx="1547495" cy="289560"/>
          <wp:effectExtent l="0" t="0" r="0" b="0"/>
          <wp:wrapTight wrapText="bothSides">
            <wp:wrapPolygon>
              <wp:start x="0" y="0"/>
              <wp:lineTo x="0" y="19895"/>
              <wp:lineTo x="21272" y="19895"/>
              <wp:lineTo x="21272" y="0"/>
              <wp:lineTo x="0" y="0"/>
            </wp:wrapPolygon>
          </wp:wrapTight>
          <wp:docPr id="12049736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973623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09" t="14720" r="3275" b="5491"/>
                  <a:stretch>
                    <a:fillRect/>
                  </a:stretch>
                </pic:blipFill>
                <pic:spPr>
                  <a:xfrm>
                    <a:off x="0" y="0"/>
                    <a:ext cx="1547495" cy="2895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2"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1174115</wp:posOffset>
          </wp:positionH>
          <wp:positionV relativeFrom="paragraph">
            <wp:posOffset>99060</wp:posOffset>
          </wp:positionV>
          <wp:extent cx="600710" cy="480060"/>
          <wp:effectExtent l="0" t="0" r="8890" b="0"/>
          <wp:wrapTight wrapText="bothSides">
            <wp:wrapPolygon>
              <wp:start x="0" y="0"/>
              <wp:lineTo x="0" y="20571"/>
              <wp:lineTo x="21235" y="20571"/>
              <wp:lineTo x="21235" y="0"/>
              <wp:lineTo x="0" y="0"/>
            </wp:wrapPolygon>
          </wp:wrapTight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71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2"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2958465</wp:posOffset>
          </wp:positionH>
          <wp:positionV relativeFrom="paragraph">
            <wp:posOffset>130810</wp:posOffset>
          </wp:positionV>
          <wp:extent cx="1111250" cy="424180"/>
          <wp:effectExtent l="0" t="0" r="0" b="0"/>
          <wp:wrapTight wrapText="bothSides">
            <wp:wrapPolygon>
              <wp:start x="0" y="0"/>
              <wp:lineTo x="0" y="20371"/>
              <wp:lineTo x="21106" y="20371"/>
              <wp:lineTo x="21106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5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2"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4215765</wp:posOffset>
          </wp:positionH>
          <wp:positionV relativeFrom="paragraph">
            <wp:posOffset>140970</wp:posOffset>
          </wp:positionV>
          <wp:extent cx="1525270" cy="384810"/>
          <wp:effectExtent l="0" t="0" r="0" b="0"/>
          <wp:wrapThrough wrapText="bothSides">
            <wp:wrapPolygon>
              <wp:start x="0" y="0"/>
              <wp:lineTo x="0" y="20317"/>
              <wp:lineTo x="21312" y="20317"/>
              <wp:lineTo x="21312" y="0"/>
              <wp:lineTo x="0" y="0"/>
            </wp:wrapPolygon>
          </wp:wrapThrough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270" cy="384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2"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1910715</wp:posOffset>
          </wp:positionH>
          <wp:positionV relativeFrom="paragraph">
            <wp:posOffset>111760</wp:posOffset>
          </wp:positionV>
          <wp:extent cx="947420" cy="473075"/>
          <wp:effectExtent l="0" t="0" r="5080" b="3175"/>
          <wp:wrapTight wrapText="bothSides">
            <wp:wrapPolygon>
              <wp:start x="0" y="0"/>
              <wp:lineTo x="0" y="20875"/>
              <wp:lineTo x="21282" y="20875"/>
              <wp:lineTo x="21282" y="0"/>
              <wp:lineTo x="0" y="0"/>
            </wp:wrapPolygon>
          </wp:wrapTight>
          <wp:docPr id="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3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20" cy="473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2"/>
      </w:rPr>
      <w:t xml:space="preserve">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530D46">
    <w:pPr>
      <w:pStyle w:val="17"/>
      <w:framePr w:wrap="around" w:vAnchor="text" w:hAnchor="margin" w:xAlign="right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PAGE  </w:instrText>
    </w:r>
    <w:r>
      <w:rPr>
        <w:rStyle w:val="10"/>
      </w:rPr>
      <w:fldChar w:fldCharType="end"/>
    </w:r>
  </w:p>
  <w:p w14:paraId="47C3E3D2">
    <w:pPr>
      <w:pStyle w:val="1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623661">
    <w:pPr>
      <w:pStyle w:val="17"/>
    </w:pPr>
    <w: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1199515</wp:posOffset>
          </wp:positionH>
          <wp:positionV relativeFrom="paragraph">
            <wp:posOffset>173990</wp:posOffset>
          </wp:positionV>
          <wp:extent cx="600710" cy="480060"/>
          <wp:effectExtent l="0" t="0" r="8890" b="0"/>
          <wp:wrapTight wrapText="bothSides">
            <wp:wrapPolygon>
              <wp:start x="0" y="0"/>
              <wp:lineTo x="0" y="20571"/>
              <wp:lineTo x="21235" y="20571"/>
              <wp:lineTo x="21235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71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1936115</wp:posOffset>
          </wp:positionH>
          <wp:positionV relativeFrom="paragraph">
            <wp:posOffset>177800</wp:posOffset>
          </wp:positionV>
          <wp:extent cx="947420" cy="473075"/>
          <wp:effectExtent l="0" t="0" r="5080" b="3175"/>
          <wp:wrapTight wrapText="bothSides">
            <wp:wrapPolygon>
              <wp:start x="0" y="0"/>
              <wp:lineTo x="0" y="20875"/>
              <wp:lineTo x="21282" y="20875"/>
              <wp:lineTo x="21282" y="0"/>
              <wp:lineTo x="0" y="0"/>
            </wp:wrapPolygon>
          </wp:wrapTight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20" cy="473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4241165</wp:posOffset>
          </wp:positionH>
          <wp:positionV relativeFrom="paragraph">
            <wp:posOffset>221615</wp:posOffset>
          </wp:positionV>
          <wp:extent cx="1525270" cy="384810"/>
          <wp:effectExtent l="0" t="0" r="0" b="0"/>
          <wp:wrapThrough wrapText="bothSides">
            <wp:wrapPolygon>
              <wp:start x="0" y="0"/>
              <wp:lineTo x="0" y="20317"/>
              <wp:lineTo x="21312" y="20317"/>
              <wp:lineTo x="21312" y="0"/>
              <wp:lineTo x="0" y="0"/>
            </wp:wrapPolygon>
          </wp:wrapThrough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270" cy="384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2983865</wp:posOffset>
          </wp:positionH>
          <wp:positionV relativeFrom="paragraph">
            <wp:posOffset>202565</wp:posOffset>
          </wp:positionV>
          <wp:extent cx="1111250" cy="424180"/>
          <wp:effectExtent l="0" t="0" r="0" b="0"/>
          <wp:wrapTight wrapText="bothSides">
            <wp:wrapPolygon>
              <wp:start x="0" y="0"/>
              <wp:lineTo x="0" y="20371"/>
              <wp:lineTo x="21106" y="20371"/>
              <wp:lineTo x="21106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5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-444500</wp:posOffset>
          </wp:positionH>
          <wp:positionV relativeFrom="paragraph">
            <wp:posOffset>269240</wp:posOffset>
          </wp:positionV>
          <wp:extent cx="1547495" cy="289560"/>
          <wp:effectExtent l="0" t="0" r="0" b="0"/>
          <wp:wrapTight wrapText="bothSides">
            <wp:wrapPolygon>
              <wp:start x="0" y="0"/>
              <wp:lineTo x="0" y="19895"/>
              <wp:lineTo x="21272" y="19895"/>
              <wp:lineTo x="21272" y="0"/>
              <wp:lineTo x="0" y="0"/>
            </wp:wrapPolygon>
          </wp:wrapTight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09" t="14720" r="3275" b="5491"/>
                  <a:stretch>
                    <a:fillRect/>
                  </a:stretch>
                </pic:blipFill>
                <pic:spPr>
                  <a:xfrm>
                    <a:off x="0" y="0"/>
                    <a:ext cx="1547495" cy="2895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1A4113">
    <w:pPr>
      <w:pStyle w:val="15"/>
      <w:tabs>
        <w:tab w:val="center" w:pos="5316"/>
        <w:tab w:val="clear" w:pos="4252"/>
        <w:tab w:val="clear" w:pos="8504"/>
      </w:tabs>
      <w:ind w:left="1418"/>
    </w:pPr>
    <w:r>
      <w:tab/>
    </w:r>
    <w:r>
      <w:t xml:space="preserve">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F961B">
    <w:pPr>
      <w:pStyle w:val="1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ED0AE6">
    <w:pPr>
      <w:pStyle w:val="1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08"/>
  <w:hyphenationZone w:val="425"/>
  <w:noPunctuationKerning w:val="1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FB4"/>
    <w:rsid w:val="000022D6"/>
    <w:rsid w:val="000177AE"/>
    <w:rsid w:val="000278BC"/>
    <w:rsid w:val="000357DF"/>
    <w:rsid w:val="00035981"/>
    <w:rsid w:val="00037D53"/>
    <w:rsid w:val="0004610C"/>
    <w:rsid w:val="00052171"/>
    <w:rsid w:val="0005269D"/>
    <w:rsid w:val="000572D4"/>
    <w:rsid w:val="00067FF1"/>
    <w:rsid w:val="00072D82"/>
    <w:rsid w:val="000765A8"/>
    <w:rsid w:val="000819CF"/>
    <w:rsid w:val="000850D7"/>
    <w:rsid w:val="000A0A24"/>
    <w:rsid w:val="000A2E2C"/>
    <w:rsid w:val="000A45EF"/>
    <w:rsid w:val="000A64CD"/>
    <w:rsid w:val="000B0C3A"/>
    <w:rsid w:val="000B3CEE"/>
    <w:rsid w:val="000B5BBE"/>
    <w:rsid w:val="000C355F"/>
    <w:rsid w:val="000D0137"/>
    <w:rsid w:val="000D4A4A"/>
    <w:rsid w:val="000E0410"/>
    <w:rsid w:val="000E0EFD"/>
    <w:rsid w:val="000F03FB"/>
    <w:rsid w:val="000F53AB"/>
    <w:rsid w:val="000F5C92"/>
    <w:rsid w:val="00106074"/>
    <w:rsid w:val="00107713"/>
    <w:rsid w:val="001307BC"/>
    <w:rsid w:val="00130FDA"/>
    <w:rsid w:val="00143E04"/>
    <w:rsid w:val="00146E1A"/>
    <w:rsid w:val="0015323F"/>
    <w:rsid w:val="0015589D"/>
    <w:rsid w:val="00155AC0"/>
    <w:rsid w:val="00157479"/>
    <w:rsid w:val="001622C5"/>
    <w:rsid w:val="00164429"/>
    <w:rsid w:val="00171CF0"/>
    <w:rsid w:val="001A081E"/>
    <w:rsid w:val="001A293E"/>
    <w:rsid w:val="001B2E3E"/>
    <w:rsid w:val="001B5F41"/>
    <w:rsid w:val="001C50F7"/>
    <w:rsid w:val="001C72C3"/>
    <w:rsid w:val="001C78F6"/>
    <w:rsid w:val="001D71DB"/>
    <w:rsid w:val="001F179F"/>
    <w:rsid w:val="001F2BB8"/>
    <w:rsid w:val="001F4CB2"/>
    <w:rsid w:val="001F5D79"/>
    <w:rsid w:val="00200241"/>
    <w:rsid w:val="00201D62"/>
    <w:rsid w:val="00202097"/>
    <w:rsid w:val="002123D3"/>
    <w:rsid w:val="0021654A"/>
    <w:rsid w:val="002210D1"/>
    <w:rsid w:val="00221141"/>
    <w:rsid w:val="0022135A"/>
    <w:rsid w:val="0023042F"/>
    <w:rsid w:val="00233D7E"/>
    <w:rsid w:val="002372AE"/>
    <w:rsid w:val="00243A88"/>
    <w:rsid w:val="00250809"/>
    <w:rsid w:val="00256D71"/>
    <w:rsid w:val="00257074"/>
    <w:rsid w:val="00270D88"/>
    <w:rsid w:val="00271DB0"/>
    <w:rsid w:val="0027593B"/>
    <w:rsid w:val="0027763B"/>
    <w:rsid w:val="002850FF"/>
    <w:rsid w:val="00291307"/>
    <w:rsid w:val="00292665"/>
    <w:rsid w:val="00292F63"/>
    <w:rsid w:val="00297E2C"/>
    <w:rsid w:val="002A1DEE"/>
    <w:rsid w:val="002A4E2A"/>
    <w:rsid w:val="002A78A9"/>
    <w:rsid w:val="002C0308"/>
    <w:rsid w:val="002D7111"/>
    <w:rsid w:val="002E037F"/>
    <w:rsid w:val="002E486F"/>
    <w:rsid w:val="002F13D7"/>
    <w:rsid w:val="002F79C4"/>
    <w:rsid w:val="0031248A"/>
    <w:rsid w:val="003151B2"/>
    <w:rsid w:val="00370C4B"/>
    <w:rsid w:val="00372999"/>
    <w:rsid w:val="00373538"/>
    <w:rsid w:val="0039797B"/>
    <w:rsid w:val="003A4F38"/>
    <w:rsid w:val="003A5ADD"/>
    <w:rsid w:val="003B14B5"/>
    <w:rsid w:val="003C14E5"/>
    <w:rsid w:val="003C6781"/>
    <w:rsid w:val="003D0D05"/>
    <w:rsid w:val="003D17B3"/>
    <w:rsid w:val="003D285E"/>
    <w:rsid w:val="003D51B2"/>
    <w:rsid w:val="003E0025"/>
    <w:rsid w:val="003E01B2"/>
    <w:rsid w:val="003E3334"/>
    <w:rsid w:val="003E3736"/>
    <w:rsid w:val="003E4712"/>
    <w:rsid w:val="003F0DB8"/>
    <w:rsid w:val="00410AF9"/>
    <w:rsid w:val="00421251"/>
    <w:rsid w:val="00427FFC"/>
    <w:rsid w:val="004351C2"/>
    <w:rsid w:val="00436CDA"/>
    <w:rsid w:val="00436FB4"/>
    <w:rsid w:val="004417C2"/>
    <w:rsid w:val="004454AE"/>
    <w:rsid w:val="00446B47"/>
    <w:rsid w:val="00446C4A"/>
    <w:rsid w:val="00453083"/>
    <w:rsid w:val="00454780"/>
    <w:rsid w:val="00454CF5"/>
    <w:rsid w:val="004604E1"/>
    <w:rsid w:val="00460955"/>
    <w:rsid w:val="004610B0"/>
    <w:rsid w:val="00461122"/>
    <w:rsid w:val="00462E54"/>
    <w:rsid w:val="00464DCC"/>
    <w:rsid w:val="00482FC9"/>
    <w:rsid w:val="00486E67"/>
    <w:rsid w:val="004873A2"/>
    <w:rsid w:val="00491521"/>
    <w:rsid w:val="00492D3D"/>
    <w:rsid w:val="00493AA3"/>
    <w:rsid w:val="00494A08"/>
    <w:rsid w:val="00496D14"/>
    <w:rsid w:val="0049738B"/>
    <w:rsid w:val="004A7D59"/>
    <w:rsid w:val="004B0107"/>
    <w:rsid w:val="004B3201"/>
    <w:rsid w:val="004C3E9E"/>
    <w:rsid w:val="004C62B9"/>
    <w:rsid w:val="004D790D"/>
    <w:rsid w:val="004D7DEC"/>
    <w:rsid w:val="004F0382"/>
    <w:rsid w:val="004F6478"/>
    <w:rsid w:val="004F7A67"/>
    <w:rsid w:val="00534FD4"/>
    <w:rsid w:val="00547552"/>
    <w:rsid w:val="00550D07"/>
    <w:rsid w:val="005547E7"/>
    <w:rsid w:val="005551FE"/>
    <w:rsid w:val="00564577"/>
    <w:rsid w:val="00565527"/>
    <w:rsid w:val="0057271F"/>
    <w:rsid w:val="00572E2E"/>
    <w:rsid w:val="00572F37"/>
    <w:rsid w:val="00573ED5"/>
    <w:rsid w:val="00576E36"/>
    <w:rsid w:val="00582DC3"/>
    <w:rsid w:val="00593445"/>
    <w:rsid w:val="005A625E"/>
    <w:rsid w:val="005B50F8"/>
    <w:rsid w:val="005B7644"/>
    <w:rsid w:val="005C0F93"/>
    <w:rsid w:val="005C6700"/>
    <w:rsid w:val="005C7FFE"/>
    <w:rsid w:val="005D28CA"/>
    <w:rsid w:val="005D2CDC"/>
    <w:rsid w:val="005D2F8E"/>
    <w:rsid w:val="005D3283"/>
    <w:rsid w:val="005D4483"/>
    <w:rsid w:val="005D6530"/>
    <w:rsid w:val="005E2B5C"/>
    <w:rsid w:val="005E649D"/>
    <w:rsid w:val="005F3E44"/>
    <w:rsid w:val="00606947"/>
    <w:rsid w:val="006122E0"/>
    <w:rsid w:val="00613B9D"/>
    <w:rsid w:val="006244D2"/>
    <w:rsid w:val="00627515"/>
    <w:rsid w:val="006401DF"/>
    <w:rsid w:val="00646533"/>
    <w:rsid w:val="0064710C"/>
    <w:rsid w:val="00647C1C"/>
    <w:rsid w:val="006515A3"/>
    <w:rsid w:val="0065423A"/>
    <w:rsid w:val="006552F1"/>
    <w:rsid w:val="00661951"/>
    <w:rsid w:val="00664706"/>
    <w:rsid w:val="00676FB8"/>
    <w:rsid w:val="00680C5E"/>
    <w:rsid w:val="00685842"/>
    <w:rsid w:val="00692E48"/>
    <w:rsid w:val="00696E9D"/>
    <w:rsid w:val="006A267D"/>
    <w:rsid w:val="006A3660"/>
    <w:rsid w:val="006B5ABB"/>
    <w:rsid w:val="006B7941"/>
    <w:rsid w:val="006C55AB"/>
    <w:rsid w:val="006D1313"/>
    <w:rsid w:val="006D4D73"/>
    <w:rsid w:val="006E10D8"/>
    <w:rsid w:val="006E432B"/>
    <w:rsid w:val="006E599A"/>
    <w:rsid w:val="006E5D22"/>
    <w:rsid w:val="006F2E31"/>
    <w:rsid w:val="006F4312"/>
    <w:rsid w:val="00701890"/>
    <w:rsid w:val="007028F7"/>
    <w:rsid w:val="007111EC"/>
    <w:rsid w:val="00715E7F"/>
    <w:rsid w:val="00717D29"/>
    <w:rsid w:val="0072004E"/>
    <w:rsid w:val="00723589"/>
    <w:rsid w:val="007247C7"/>
    <w:rsid w:val="00736F04"/>
    <w:rsid w:val="0075246E"/>
    <w:rsid w:val="00753B62"/>
    <w:rsid w:val="0075557B"/>
    <w:rsid w:val="007561B5"/>
    <w:rsid w:val="00762D78"/>
    <w:rsid w:val="00765179"/>
    <w:rsid w:val="00766D7F"/>
    <w:rsid w:val="00772A58"/>
    <w:rsid w:val="00784358"/>
    <w:rsid w:val="007852A8"/>
    <w:rsid w:val="00791296"/>
    <w:rsid w:val="00794A7B"/>
    <w:rsid w:val="00797C24"/>
    <w:rsid w:val="007A0331"/>
    <w:rsid w:val="007A4D20"/>
    <w:rsid w:val="007C0950"/>
    <w:rsid w:val="007C2292"/>
    <w:rsid w:val="007C287E"/>
    <w:rsid w:val="007D0C06"/>
    <w:rsid w:val="007D667D"/>
    <w:rsid w:val="007E7C23"/>
    <w:rsid w:val="007F19E0"/>
    <w:rsid w:val="008019F2"/>
    <w:rsid w:val="00803A2D"/>
    <w:rsid w:val="00805D20"/>
    <w:rsid w:val="00817F18"/>
    <w:rsid w:val="00822957"/>
    <w:rsid w:val="00826919"/>
    <w:rsid w:val="00841681"/>
    <w:rsid w:val="00844F20"/>
    <w:rsid w:val="0085744B"/>
    <w:rsid w:val="00865FDB"/>
    <w:rsid w:val="008666B4"/>
    <w:rsid w:val="0087134E"/>
    <w:rsid w:val="00872BFB"/>
    <w:rsid w:val="00873795"/>
    <w:rsid w:val="008827B7"/>
    <w:rsid w:val="00885715"/>
    <w:rsid w:val="00893EB4"/>
    <w:rsid w:val="008B150C"/>
    <w:rsid w:val="008B71AD"/>
    <w:rsid w:val="008C1653"/>
    <w:rsid w:val="008D3E3D"/>
    <w:rsid w:val="008D5BE6"/>
    <w:rsid w:val="008D6448"/>
    <w:rsid w:val="008E0138"/>
    <w:rsid w:val="008E472A"/>
    <w:rsid w:val="008F0448"/>
    <w:rsid w:val="008F67DC"/>
    <w:rsid w:val="0090038D"/>
    <w:rsid w:val="00917701"/>
    <w:rsid w:val="009216F1"/>
    <w:rsid w:val="00925EA5"/>
    <w:rsid w:val="009270E9"/>
    <w:rsid w:val="00934B5A"/>
    <w:rsid w:val="00936C46"/>
    <w:rsid w:val="00942E9B"/>
    <w:rsid w:val="00942FC3"/>
    <w:rsid w:val="009439D9"/>
    <w:rsid w:val="00944A24"/>
    <w:rsid w:val="00945843"/>
    <w:rsid w:val="00951E46"/>
    <w:rsid w:val="0095372A"/>
    <w:rsid w:val="009715FB"/>
    <w:rsid w:val="00980BF1"/>
    <w:rsid w:val="009859EF"/>
    <w:rsid w:val="00990C68"/>
    <w:rsid w:val="00992D94"/>
    <w:rsid w:val="00997938"/>
    <w:rsid w:val="009A473F"/>
    <w:rsid w:val="009B0BA8"/>
    <w:rsid w:val="009B2F68"/>
    <w:rsid w:val="009B3EF4"/>
    <w:rsid w:val="009C1073"/>
    <w:rsid w:val="009C2768"/>
    <w:rsid w:val="009D4689"/>
    <w:rsid w:val="009D5D94"/>
    <w:rsid w:val="009E646A"/>
    <w:rsid w:val="009E7410"/>
    <w:rsid w:val="00A05D99"/>
    <w:rsid w:val="00A064F4"/>
    <w:rsid w:val="00A12A27"/>
    <w:rsid w:val="00A14DD3"/>
    <w:rsid w:val="00A159AC"/>
    <w:rsid w:val="00A23A7F"/>
    <w:rsid w:val="00A25CD5"/>
    <w:rsid w:val="00A27278"/>
    <w:rsid w:val="00A3104B"/>
    <w:rsid w:val="00A356CC"/>
    <w:rsid w:val="00A464B7"/>
    <w:rsid w:val="00A47D69"/>
    <w:rsid w:val="00A565B2"/>
    <w:rsid w:val="00A67FDF"/>
    <w:rsid w:val="00A74B14"/>
    <w:rsid w:val="00A81969"/>
    <w:rsid w:val="00A830A4"/>
    <w:rsid w:val="00A87548"/>
    <w:rsid w:val="00A87AE0"/>
    <w:rsid w:val="00A92E1E"/>
    <w:rsid w:val="00A932D6"/>
    <w:rsid w:val="00A9623A"/>
    <w:rsid w:val="00A96916"/>
    <w:rsid w:val="00AA6683"/>
    <w:rsid w:val="00AB349A"/>
    <w:rsid w:val="00AB358E"/>
    <w:rsid w:val="00AB5208"/>
    <w:rsid w:val="00AD25D5"/>
    <w:rsid w:val="00AD2796"/>
    <w:rsid w:val="00AD5A6E"/>
    <w:rsid w:val="00AD722E"/>
    <w:rsid w:val="00AF0484"/>
    <w:rsid w:val="00B061C8"/>
    <w:rsid w:val="00B131FF"/>
    <w:rsid w:val="00B25101"/>
    <w:rsid w:val="00B26CC3"/>
    <w:rsid w:val="00B523EA"/>
    <w:rsid w:val="00B661C4"/>
    <w:rsid w:val="00B8563C"/>
    <w:rsid w:val="00B85FCB"/>
    <w:rsid w:val="00B87537"/>
    <w:rsid w:val="00BA1D67"/>
    <w:rsid w:val="00BB1AEA"/>
    <w:rsid w:val="00BB34D0"/>
    <w:rsid w:val="00BC3D90"/>
    <w:rsid w:val="00BC4A35"/>
    <w:rsid w:val="00BC520D"/>
    <w:rsid w:val="00BD3469"/>
    <w:rsid w:val="00BD7C5B"/>
    <w:rsid w:val="00BE1117"/>
    <w:rsid w:val="00BE2142"/>
    <w:rsid w:val="00BE4C92"/>
    <w:rsid w:val="00BF2E72"/>
    <w:rsid w:val="00C055A7"/>
    <w:rsid w:val="00C1063A"/>
    <w:rsid w:val="00C113B2"/>
    <w:rsid w:val="00C21C44"/>
    <w:rsid w:val="00C263E6"/>
    <w:rsid w:val="00C406C7"/>
    <w:rsid w:val="00C41E5F"/>
    <w:rsid w:val="00C4212F"/>
    <w:rsid w:val="00C50C81"/>
    <w:rsid w:val="00C51989"/>
    <w:rsid w:val="00C53DBC"/>
    <w:rsid w:val="00C6094F"/>
    <w:rsid w:val="00C67027"/>
    <w:rsid w:val="00C71F4F"/>
    <w:rsid w:val="00C906E8"/>
    <w:rsid w:val="00C90C8E"/>
    <w:rsid w:val="00C9141D"/>
    <w:rsid w:val="00C920BF"/>
    <w:rsid w:val="00C9677D"/>
    <w:rsid w:val="00CA1CF1"/>
    <w:rsid w:val="00CA1D27"/>
    <w:rsid w:val="00CA7B29"/>
    <w:rsid w:val="00CB0AE2"/>
    <w:rsid w:val="00CB7116"/>
    <w:rsid w:val="00CC535C"/>
    <w:rsid w:val="00CD2273"/>
    <w:rsid w:val="00CD2F85"/>
    <w:rsid w:val="00CD3E81"/>
    <w:rsid w:val="00CD5938"/>
    <w:rsid w:val="00CD6DA1"/>
    <w:rsid w:val="00CF11F6"/>
    <w:rsid w:val="00CF1E74"/>
    <w:rsid w:val="00CF40BE"/>
    <w:rsid w:val="00CF4F39"/>
    <w:rsid w:val="00D004C7"/>
    <w:rsid w:val="00D03D2B"/>
    <w:rsid w:val="00D074D0"/>
    <w:rsid w:val="00D10BBE"/>
    <w:rsid w:val="00D1345D"/>
    <w:rsid w:val="00D2389C"/>
    <w:rsid w:val="00D3097A"/>
    <w:rsid w:val="00D3636F"/>
    <w:rsid w:val="00D56549"/>
    <w:rsid w:val="00D63AB8"/>
    <w:rsid w:val="00D7145B"/>
    <w:rsid w:val="00D717F0"/>
    <w:rsid w:val="00D734D7"/>
    <w:rsid w:val="00D824E5"/>
    <w:rsid w:val="00D937EA"/>
    <w:rsid w:val="00DA1AA6"/>
    <w:rsid w:val="00DB2CD4"/>
    <w:rsid w:val="00DB6CDD"/>
    <w:rsid w:val="00DC5541"/>
    <w:rsid w:val="00DC6E53"/>
    <w:rsid w:val="00DC7388"/>
    <w:rsid w:val="00DE364E"/>
    <w:rsid w:val="00DF1041"/>
    <w:rsid w:val="00DF7995"/>
    <w:rsid w:val="00E01F14"/>
    <w:rsid w:val="00E01F8A"/>
    <w:rsid w:val="00E04528"/>
    <w:rsid w:val="00E071F6"/>
    <w:rsid w:val="00E13DA2"/>
    <w:rsid w:val="00E26BFF"/>
    <w:rsid w:val="00E32B09"/>
    <w:rsid w:val="00E43A9D"/>
    <w:rsid w:val="00E46132"/>
    <w:rsid w:val="00E521D4"/>
    <w:rsid w:val="00E54E98"/>
    <w:rsid w:val="00E564BE"/>
    <w:rsid w:val="00E73E81"/>
    <w:rsid w:val="00E761D3"/>
    <w:rsid w:val="00E8506E"/>
    <w:rsid w:val="00E850F6"/>
    <w:rsid w:val="00E878DB"/>
    <w:rsid w:val="00E94061"/>
    <w:rsid w:val="00EA4526"/>
    <w:rsid w:val="00EB4582"/>
    <w:rsid w:val="00ED2954"/>
    <w:rsid w:val="00ED2B4C"/>
    <w:rsid w:val="00EF1457"/>
    <w:rsid w:val="00EF5D74"/>
    <w:rsid w:val="00F07561"/>
    <w:rsid w:val="00F120C2"/>
    <w:rsid w:val="00F302D2"/>
    <w:rsid w:val="00F305B0"/>
    <w:rsid w:val="00F32693"/>
    <w:rsid w:val="00F328E2"/>
    <w:rsid w:val="00F334C7"/>
    <w:rsid w:val="00F4508C"/>
    <w:rsid w:val="00F51798"/>
    <w:rsid w:val="00F53105"/>
    <w:rsid w:val="00F620D2"/>
    <w:rsid w:val="00F6248D"/>
    <w:rsid w:val="00F739E1"/>
    <w:rsid w:val="00F76AA5"/>
    <w:rsid w:val="00F81E79"/>
    <w:rsid w:val="00F82CEB"/>
    <w:rsid w:val="00F84782"/>
    <w:rsid w:val="00F92131"/>
    <w:rsid w:val="00F92933"/>
    <w:rsid w:val="00FA73BC"/>
    <w:rsid w:val="00FB03E0"/>
    <w:rsid w:val="00FB21B4"/>
    <w:rsid w:val="00FB2388"/>
    <w:rsid w:val="00FB51C5"/>
    <w:rsid w:val="00FB521F"/>
    <w:rsid w:val="00FC4EB4"/>
    <w:rsid w:val="00FC5E67"/>
    <w:rsid w:val="00FD5368"/>
    <w:rsid w:val="00FE3155"/>
    <w:rsid w:val="00FE4968"/>
    <w:rsid w:val="00FE4C74"/>
    <w:rsid w:val="00FF5CB9"/>
    <w:rsid w:val="145256B8"/>
    <w:rsid w:val="2A9C16ED"/>
    <w:rsid w:val="2DF23DB2"/>
    <w:rsid w:val="352D6CA4"/>
    <w:rsid w:val="42D47DB6"/>
    <w:rsid w:val="4D663E25"/>
    <w:rsid w:val="4F4E7BE0"/>
    <w:rsid w:val="59F0409F"/>
    <w:rsid w:val="69313380"/>
    <w:rsid w:val="6A2F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72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s-ES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qFormat/>
    <w:uiPriority w:val="0"/>
    <w:pPr>
      <w:spacing w:before="100" w:beforeAutospacing="1" w:after="100" w:afterAutospacing="1"/>
      <w:outlineLvl w:val="1"/>
    </w:pPr>
    <w:rPr>
      <w:rFonts w:eastAsia="MS Mincho"/>
      <w:b/>
      <w:bCs/>
      <w:sz w:val="36"/>
      <w:szCs w:val="36"/>
      <w:lang w:eastAsia="ja-JP"/>
    </w:rPr>
  </w:style>
  <w:style w:type="paragraph" w:styleId="4">
    <w:name w:val="heading 3"/>
    <w:basedOn w:val="1"/>
    <w:next w:val="1"/>
    <w:qFormat/>
    <w:uiPriority w:val="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annotation reference"/>
    <w:semiHidden/>
    <w:unhideWhenUsed/>
    <w:uiPriority w:val="99"/>
    <w:rPr>
      <w:sz w:val="16"/>
      <w:szCs w:val="16"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styleId="9">
    <w:name w:val="FollowedHyperlink"/>
    <w:semiHidden/>
    <w:unhideWhenUsed/>
    <w:qFormat/>
    <w:uiPriority w:val="99"/>
    <w:rPr>
      <w:color w:val="800080"/>
      <w:u w:val="single"/>
    </w:rPr>
  </w:style>
  <w:style w:type="character" w:styleId="10">
    <w:name w:val="page number"/>
    <w:basedOn w:val="5"/>
    <w:semiHidden/>
    <w:unhideWhenUsed/>
    <w:qFormat/>
    <w:uiPriority w:val="99"/>
  </w:style>
  <w:style w:type="character" w:styleId="11">
    <w:name w:val="Strong"/>
    <w:qFormat/>
    <w:uiPriority w:val="0"/>
    <w:rPr>
      <w:b/>
      <w:bCs/>
    </w:rPr>
  </w:style>
  <w:style w:type="paragraph" w:styleId="12">
    <w:name w:val="annotation subject"/>
    <w:basedOn w:val="13"/>
    <w:next w:val="13"/>
    <w:link w:val="48"/>
    <w:semiHidden/>
    <w:unhideWhenUsed/>
    <w:qFormat/>
    <w:uiPriority w:val="99"/>
    <w:rPr>
      <w:b/>
      <w:bCs/>
    </w:rPr>
  </w:style>
  <w:style w:type="paragraph" w:styleId="13">
    <w:name w:val="annotation text"/>
    <w:basedOn w:val="1"/>
    <w:link w:val="47"/>
    <w:semiHidden/>
    <w:unhideWhenUsed/>
    <w:qFormat/>
    <w:uiPriority w:val="99"/>
    <w:rPr>
      <w:sz w:val="20"/>
      <w:szCs w:val="20"/>
    </w:rPr>
  </w:style>
  <w:style w:type="paragraph" w:styleId="14">
    <w:name w:val="Balloon Text"/>
    <w:basedOn w:val="1"/>
    <w:link w:val="45"/>
    <w:semiHidden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15">
    <w:name w:val="header"/>
    <w:basedOn w:val="1"/>
    <w:link w:val="19"/>
    <w:unhideWhenUsed/>
    <w:qFormat/>
    <w:uiPriority w:val="0"/>
    <w:pPr>
      <w:tabs>
        <w:tab w:val="center" w:pos="4252"/>
        <w:tab w:val="right" w:pos="8504"/>
      </w:tabs>
    </w:pPr>
  </w:style>
  <w:style w:type="paragraph" w:styleId="16">
    <w:name w:val="Normal (Web)"/>
    <w:basedOn w:val="1"/>
    <w:qFormat/>
    <w:uiPriority w:val="0"/>
    <w:pPr>
      <w:spacing w:before="100" w:beforeAutospacing="1" w:after="100" w:afterAutospacing="1"/>
    </w:pPr>
    <w:rPr>
      <w:rFonts w:eastAsia="MS Mincho"/>
      <w:lang w:eastAsia="ja-JP"/>
    </w:rPr>
  </w:style>
  <w:style w:type="paragraph" w:styleId="17">
    <w:name w:val="footer"/>
    <w:basedOn w:val="1"/>
    <w:link w:val="20"/>
    <w:unhideWhenUsed/>
    <w:qFormat/>
    <w:uiPriority w:val="99"/>
    <w:pPr>
      <w:tabs>
        <w:tab w:val="center" w:pos="4252"/>
        <w:tab w:val="right" w:pos="8504"/>
      </w:tabs>
    </w:pPr>
  </w:style>
  <w:style w:type="table" w:styleId="18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Encabezado Car"/>
    <w:link w:val="15"/>
    <w:qFormat/>
    <w:uiPriority w:val="99"/>
    <w:rPr>
      <w:rFonts w:ascii="Cambria" w:hAnsi="Cambria" w:eastAsia="Cambria" w:cs="Times New Roman"/>
      <w:lang w:eastAsia="en-US"/>
    </w:rPr>
  </w:style>
  <w:style w:type="character" w:customStyle="1" w:styleId="20">
    <w:name w:val="Pie de página Car"/>
    <w:link w:val="17"/>
    <w:qFormat/>
    <w:uiPriority w:val="99"/>
    <w:rPr>
      <w:rFonts w:ascii="Cambria" w:hAnsi="Cambria" w:eastAsia="Cambria" w:cs="Times New Roman"/>
      <w:lang w:eastAsia="en-US"/>
    </w:rPr>
  </w:style>
  <w:style w:type="character" w:customStyle="1" w:styleId="21">
    <w:name w:val="highlight"/>
    <w:basedOn w:val="5"/>
    <w:qFormat/>
    <w:uiPriority w:val="0"/>
  </w:style>
  <w:style w:type="paragraph" w:customStyle="1" w:styleId="22">
    <w:name w:val="Título1"/>
    <w:basedOn w:val="1"/>
    <w:qFormat/>
    <w:uiPriority w:val="0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23">
    <w:name w:val="e_id4215232"/>
    <w:basedOn w:val="5"/>
    <w:qFormat/>
    <w:uiPriority w:val="0"/>
  </w:style>
  <w:style w:type="character" w:customStyle="1" w:styleId="24">
    <w:name w:val="e_id1918314"/>
    <w:basedOn w:val="5"/>
    <w:qFormat/>
    <w:uiPriority w:val="0"/>
  </w:style>
  <w:style w:type="character" w:customStyle="1" w:styleId="25">
    <w:name w:val="e_id4599436"/>
    <w:basedOn w:val="5"/>
    <w:qFormat/>
    <w:uiPriority w:val="0"/>
  </w:style>
  <w:style w:type="character" w:customStyle="1" w:styleId="26">
    <w:name w:val="e_id3159754"/>
    <w:basedOn w:val="5"/>
    <w:qFormat/>
    <w:uiPriority w:val="0"/>
  </w:style>
  <w:style w:type="character" w:customStyle="1" w:styleId="27">
    <w:name w:val="e_id1451098"/>
    <w:basedOn w:val="5"/>
    <w:qFormat/>
    <w:uiPriority w:val="0"/>
  </w:style>
  <w:style w:type="character" w:customStyle="1" w:styleId="28">
    <w:name w:val="e_id3638722"/>
    <w:basedOn w:val="5"/>
    <w:qFormat/>
    <w:uiPriority w:val="0"/>
  </w:style>
  <w:style w:type="character" w:customStyle="1" w:styleId="29">
    <w:name w:val="e_id4345102"/>
    <w:basedOn w:val="5"/>
    <w:qFormat/>
    <w:uiPriority w:val="0"/>
  </w:style>
  <w:style w:type="character" w:customStyle="1" w:styleId="30">
    <w:name w:val="e_id745423"/>
    <w:basedOn w:val="5"/>
    <w:qFormat/>
    <w:uiPriority w:val="0"/>
  </w:style>
  <w:style w:type="character" w:customStyle="1" w:styleId="31">
    <w:name w:val="e_id3714933"/>
    <w:basedOn w:val="5"/>
    <w:qFormat/>
    <w:uiPriority w:val="0"/>
  </w:style>
  <w:style w:type="character" w:customStyle="1" w:styleId="32">
    <w:name w:val="e_id2470192"/>
    <w:basedOn w:val="5"/>
    <w:qFormat/>
    <w:uiPriority w:val="0"/>
  </w:style>
  <w:style w:type="character" w:customStyle="1" w:styleId="33">
    <w:name w:val="e_id4059829"/>
    <w:basedOn w:val="5"/>
    <w:qFormat/>
    <w:uiPriority w:val="0"/>
  </w:style>
  <w:style w:type="character" w:customStyle="1" w:styleId="34">
    <w:name w:val="e_id4744641"/>
    <w:basedOn w:val="5"/>
    <w:qFormat/>
    <w:uiPriority w:val="0"/>
  </w:style>
  <w:style w:type="character" w:customStyle="1" w:styleId="35">
    <w:name w:val="e_id4236619"/>
    <w:basedOn w:val="5"/>
    <w:qFormat/>
    <w:uiPriority w:val="0"/>
  </w:style>
  <w:style w:type="character" w:customStyle="1" w:styleId="36">
    <w:name w:val="e_id4249491"/>
    <w:basedOn w:val="5"/>
    <w:qFormat/>
    <w:uiPriority w:val="0"/>
  </w:style>
  <w:style w:type="character" w:customStyle="1" w:styleId="37">
    <w:name w:val="email-label"/>
    <w:basedOn w:val="5"/>
    <w:qFormat/>
    <w:uiPriority w:val="0"/>
  </w:style>
  <w:style w:type="character" w:customStyle="1" w:styleId="38">
    <w:name w:val="e_id983024"/>
    <w:basedOn w:val="5"/>
    <w:qFormat/>
    <w:uiPriority w:val="0"/>
  </w:style>
  <w:style w:type="character" w:customStyle="1" w:styleId="39">
    <w:name w:val="e_id4857413"/>
    <w:basedOn w:val="5"/>
    <w:qFormat/>
    <w:uiPriority w:val="0"/>
  </w:style>
  <w:style w:type="character" w:customStyle="1" w:styleId="40">
    <w:name w:val="e_id1743480"/>
    <w:basedOn w:val="5"/>
    <w:qFormat/>
    <w:uiPriority w:val="0"/>
  </w:style>
  <w:style w:type="character" w:customStyle="1" w:styleId="41">
    <w:name w:val="e_id2249528"/>
    <w:basedOn w:val="5"/>
    <w:qFormat/>
    <w:uiPriority w:val="0"/>
  </w:style>
  <w:style w:type="character" w:customStyle="1" w:styleId="42">
    <w:name w:val="e_id4104615"/>
    <w:basedOn w:val="5"/>
    <w:qFormat/>
    <w:uiPriority w:val="0"/>
  </w:style>
  <w:style w:type="character" w:customStyle="1" w:styleId="43">
    <w:name w:val="e_id1913523"/>
    <w:basedOn w:val="5"/>
    <w:qFormat/>
    <w:uiPriority w:val="0"/>
  </w:style>
  <w:style w:type="character" w:customStyle="1" w:styleId="44">
    <w:name w:val="e_id4316756"/>
    <w:basedOn w:val="5"/>
    <w:qFormat/>
    <w:uiPriority w:val="0"/>
  </w:style>
  <w:style w:type="character" w:customStyle="1" w:styleId="45">
    <w:name w:val="Texto de globo Car"/>
    <w:link w:val="14"/>
    <w:semiHidden/>
    <w:qFormat/>
    <w:uiPriority w:val="99"/>
    <w:rPr>
      <w:rFonts w:ascii="Lucida Grande" w:hAnsi="Lucida Grande" w:eastAsia="Cambria" w:cs="Lucida Grande"/>
      <w:sz w:val="18"/>
      <w:szCs w:val="18"/>
      <w:lang w:eastAsia="en-US"/>
    </w:rPr>
  </w:style>
  <w:style w:type="paragraph" w:customStyle="1" w:styleId="46">
    <w:name w:val="Cambria"/>
    <w:basedOn w:val="1"/>
    <w:qFormat/>
    <w:uiPriority w:val="0"/>
    <w:pPr>
      <w:jc w:val="both"/>
    </w:pPr>
    <w:rPr>
      <w:rFonts w:ascii="Courier New" w:hAnsi="Courier New" w:cs="Courier New"/>
      <w:lang w:val="en-GB"/>
    </w:rPr>
  </w:style>
  <w:style w:type="character" w:customStyle="1" w:styleId="47">
    <w:name w:val="Texto comentario Car"/>
    <w:link w:val="13"/>
    <w:semiHidden/>
    <w:qFormat/>
    <w:uiPriority w:val="99"/>
    <w:rPr>
      <w:rFonts w:ascii="Times New Roman" w:hAnsi="Times New Roman" w:eastAsia="Times New Roman"/>
    </w:rPr>
  </w:style>
  <w:style w:type="character" w:customStyle="1" w:styleId="48">
    <w:name w:val="Asunto del comentario Car"/>
    <w:link w:val="12"/>
    <w:semiHidden/>
    <w:qFormat/>
    <w:uiPriority w:val="99"/>
    <w:rPr>
      <w:rFonts w:ascii="Times New Roman" w:hAnsi="Times New Roman" w:eastAsia="Times New Roman"/>
      <w:b/>
      <w:bCs/>
    </w:rPr>
  </w:style>
  <w:style w:type="paragraph" w:styleId="49">
    <w:name w:val="List Paragraph"/>
    <w:basedOn w:val="1"/>
    <w:qFormat/>
    <w:uiPriority w:val="72"/>
    <w:pPr>
      <w:ind w:left="720"/>
      <w:contextualSpacing/>
    </w:pPr>
  </w:style>
  <w:style w:type="character" w:customStyle="1" w:styleId="5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customXml" Target="../customXml/item3.xml"/><Relationship Id="rId3" Type="http://schemas.openxmlformats.org/officeDocument/2006/relationships/header" Target="header1.xml"/><Relationship Id="rId7" Type="http://schemas.openxmlformats.org/officeDocument/2006/relationships/footer" Target="footer2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6" Type="http://schemas.openxmlformats.org/officeDocument/2006/relationships/footer" Target="footer1.xml"/><Relationship Id="rId1" Type="http://schemas.openxmlformats.org/officeDocument/2006/relationships/styles" Target="styles.xml"/><Relationship Id="rId11" Type="http://schemas.openxmlformats.org/officeDocument/2006/relationships/customXml" Target="../customXml/item1.xml"/><Relationship Id="rId5" Type="http://schemas.openxmlformats.org/officeDocument/2006/relationships/header" Target="header3.xml"/><Relationship Id="rId10" Type="http://schemas.openxmlformats.org/officeDocument/2006/relationships/fontTable" Target="fontTable.xml"/><Relationship Id="rId9" Type="http://schemas.openxmlformats.org/officeDocument/2006/relationships/theme" Target="theme/theme1.xml"/><Relationship Id="rId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5" Type="http://schemas.openxmlformats.org/officeDocument/2006/relationships/image" Target="media/image1.jpeg"/><Relationship Id="rId4" Type="http://schemas.openxmlformats.org/officeDocument/2006/relationships/image" Target="media/image3.jpeg"/><Relationship Id="rId3" Type="http://schemas.openxmlformats.org/officeDocument/2006/relationships/image" Target="media/image4.png"/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A89177-0320-4B99-AA0A-74F5A6D0B886}"/>
</file>

<file path=customXml/itemProps2.xml><?xml version="1.0" encoding="utf-8"?>
<ds:datastoreItem xmlns:ds="http://schemas.openxmlformats.org/officeDocument/2006/customXml" ds:itemID="{031884E7-C941-4A70-9DEA-D8A7D87F3569}"/>
</file>

<file path=customXml/itemProps3.xml><?xml version="1.0" encoding="utf-8"?>
<ds:datastoreItem xmlns:ds="http://schemas.openxmlformats.org/officeDocument/2006/customXml" ds:itemID="{FC98B171-D7E0-43D2-8CD6-63E23AEDA0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ayusoa01</Company>
  <Pages>4</Pages>
  <Words>659</Words>
  <Characters>3627</Characters>
  <Lines>30</Lines>
  <Paragraphs>8</Paragraphs>
  <TotalTime>2</TotalTime>
  <ScaleCrop>false</ScaleCrop>
  <LinksUpToDate>false</LinksUpToDate>
  <CharactersWithSpaces>4278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Symposium on Clinical and basic investigation in Glioblastoma 2013: IV Simposio de la Fundación Seve Ballesteros sobre tumores cerebrales</dc:title>
  <dc:creator>Angel Ayuso Sacido</dc:creator>
  <cp:lastModifiedBy>Ana Amaral</cp:lastModifiedBy>
  <cp:revision>6</cp:revision>
  <cp:lastPrinted>2023-06-02T06:20:00Z</cp:lastPrinted>
  <dcterms:created xsi:type="dcterms:W3CDTF">2025-01-23T09:40:00Z</dcterms:created>
  <dcterms:modified xsi:type="dcterms:W3CDTF">2025-02-05T09:46:29Z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3082-12.2.0.19805</vt:lpwstr>
  </property>
  <property fmtid="{D5CDD505-2E9C-101B-9397-08002B2CF9AE}" pid="3" name="ICV">
    <vt:lpwstr>8B32B595B16947378509A69548E92623_13</vt:lpwstr>
  </property>
</Properties>
</file>